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一）主动推动矛盾纠纷多元化解。普遍设立人民调解委员会，镇村配齐专职调解员，加强行业性调解组织建设，推动诉前调解、信访调解，发扬枫桥经验，努力实现矛盾不上交。</w:t>
      </w:r>
    </w:p>
    <w:p>
      <w:pPr>
        <w:rPr>
          <w:rFonts w:hint="eastAsia"/>
        </w:rPr>
      </w:pPr>
      <w:r>
        <w:rPr>
          <w:rFonts w:hint="eastAsia"/>
        </w:rPr>
        <w:t>（二）完善公共法律服务体系建设。建设实体和网上全覆盖的公共法律服务平台，在县镇村建立公共法律服务中心〔站、室〕，利用"12348'热线和法律服务网开展电话和网络服务，提供法律咨询、法律救援、人民调解、公证等普惠的公共法律服务。</w:t>
      </w:r>
    </w:p>
    <w:p>
      <w:r>
        <w:rPr>
          <w:rFonts w:hint="eastAsia"/>
        </w:rPr>
        <w:t>（三）加强普法宣扬，促进法治社会建设。全面开展法律宣扬进机关、进乡村、进社区、进学校、进企业、进单位等活动，利用各种媒体广泛开展普法宣扬，落实国家机关“谁执法谁普法”。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N2U3MmM4Y2JiNWQzZGE0YmE1NmNmZmY2MWRkMjEifQ=="/>
  </w:docVars>
  <w:rsids>
    <w:rsidRoot w:val="00000000"/>
    <w:rsid w:val="2359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2023-08-02T09:41:57Z</dcterms:created>
  <dc:creator>11614</dc:creator>
  <cp:lastModifiedBy>。。。。。。</cp:lastModifiedBy>
  <dcterms:modified xsi:type="dcterms:W3CDTF">2023-08-02T09:42:10Z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C328F89BCFB9482C807C351AF2C784A5_12</vt:lpwstr>
  </property>
</Properties>
</file>