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</w:pPr>
      <w:r>
        <w:rPr>
          <w:rFonts w:hint="eastAsia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i1025" o:spid="_x0000_s1026" type="#_x0000_t136" style="height:60.75pt;width:415.5pt;rotation:0f;" o:ole="f" fillcolor="#FF0000" filled="t" o:preferrelative="t" stroked="t" coordorigin="0,0" coordsize="21600,21600" adj="10800">
            <v:stroke weight="1.75pt" color="#FF0000" color2="#FFFFFF" miterlimit="2"/>
            <v:imagedata gain="65536f" blacklevel="0f" gamma="0"/>
            <o:lock v:ext="edit" position="f" selection="f" grouping="f" rotation="f" cropping="f" text="f" aspectratio="f"/>
            <v:textpath on="t" fitshape="t" fitpath="t" trim="t" xscale="f" string="襄城县市场监督管理局" style="v-text-align:center;font-family:宋体;font-size:12pt;"/>
            <w10:wrap type="none"/>
            <w10:anchorlock/>
          </v:shape>
        </w:pict>
      </w:r>
    </w:p>
    <w:p>
      <w:pPr>
        <w:jc w:val="center"/>
      </w:pPr>
    </w:p>
    <w:tbl>
      <w:tblPr>
        <w:tblW w:w="8522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340" w:hRule="exact"/>
          <w:jc w:val="center"/>
        </w:trPr>
        <w:tc>
          <w:tcPr>
            <w:tcW w:w="8522" w:type="dxa"/>
            <w:vAlign w:val="top"/>
          </w:tcPr>
          <w:p>
            <w:pPr>
              <w:ind w:firstLine="3958" w:firstLineChars="1885"/>
              <w:jc w:val="center"/>
              <w:rPr>
                <w:rFonts w:hint="eastAsia"/>
              </w:rPr>
            </w:pPr>
            <w:bookmarkStart w:id="0" w:name="documentHeadLineFrame"/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pict>
                <v:line id="直接连接符 1" o:spid="_x0000_s1027" style="position:absolute;left:0;margin-left:-15pt;margin-top:7.95pt;height:0.05pt;width:442.2pt;rotation:0f;z-index:251658240;" o:ole="f" fillcolor="#FFFFFF" filled="f" o:preferrelative="t" stroked="t" coordsize="21600,21600">
                  <v:fill on="f" color2="#FFFFFF" focus="0%"/>
                  <v:stroke weight="2.5pt" color="#FF0000" color2="#FFFFFF" opacity="100%" miterlimit="2"/>
                  <v:imagedata gain="65536f" blacklevel="0f" gamma="0"/>
                  <o:lock v:ext="edit" position="f" selection="f" grouping="f" rotation="f" cropping="f" text="f" aspectratio="f"/>
                </v:line>
              </w:pict>
            </w:r>
            <w:bookmarkEnd w:id="0"/>
          </w:p>
        </w:tc>
      </w:tr>
    </w:tbl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关于加强202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正常营业餐饮单位</w:t>
      </w:r>
    </w:p>
    <w:p>
      <w:pPr>
        <w:spacing w:line="60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食品安全监管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的通知</w:t>
      </w:r>
    </w:p>
    <w:bookmarkEnd w:id="1"/>
    <w:p>
      <w:pPr>
        <w:spacing w:line="600" w:lineRule="exact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各市场监管所、局相关股室：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为全面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加强疫情过后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餐饮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单位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春节期间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食品安全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管理工作，确保全县人民过上一个安定、祥和的春节。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</w:rPr>
        <w:t>现就做好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  <w:lang w:eastAsia="zh-CN"/>
        </w:rPr>
        <w:t>全县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</w:rPr>
        <w:t>春节期间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  <w:lang w:eastAsia="zh-CN"/>
        </w:rPr>
        <w:t>餐饮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</w:rPr>
        <w:t>食品安全工作通知如下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强化排查，建立台账。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各所要针对辖区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春节期间正常营业的餐饮单位进行排查统计，建立春节期间正常营业餐饮单位食品安全隐患防控台账，及时有效把控春节期间餐饮食品安全。</w:t>
      </w:r>
    </w:p>
    <w:p>
      <w:pPr>
        <w:numPr>
          <w:numId w:val="0"/>
        </w:numPr>
        <w:spacing w:line="600" w:lineRule="exact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二、严格落实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承办报备制管理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春节期间正常营业规模餐饮单位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承办预订聚餐的情况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申报备案，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制定菜谱要安全、营养、合理，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范围经营和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超负荷接待，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numId w:val="0"/>
        </w:numPr>
        <w:spacing w:line="600" w:lineRule="exact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加强监督检查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，排除安全隐患。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各所要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结合春节消费特点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针对辖区餐饮单位开展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食材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索证索票、进货查验及台账记录和存储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条件等环节的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全面监督检查，对检查中发现隐患问题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短期不能整改到位的单位坚决关门停业。</w:t>
      </w:r>
    </w:p>
    <w:p>
      <w:pPr>
        <w:spacing w:line="600" w:lineRule="exact"/>
        <w:ind w:firstLine="803" w:firstLineChars="250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color="070000" w:fill="FFFFFF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掌握食品安全状况，落实企业主体责任。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各所要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严格落实属地监管职责，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及时统计、掌握辖区春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期间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正常营业餐饮单位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食品安全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状况，与春节期间正常营业餐饮单位签订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《春节期间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餐饮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食品安全承诺书》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，强化餐饮单位主体责任落实和第一责任人意识。</w:t>
      </w:r>
    </w:p>
    <w:p>
      <w:pPr>
        <w:spacing w:line="600" w:lineRule="exact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>
      <w:pPr>
        <w:spacing w:line="600" w:lineRule="exact"/>
        <w:ind w:firstLine="160" w:firstLineChars="5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附件:《春节期间餐饮食品安全承诺书》</w:t>
      </w:r>
    </w:p>
    <w:p>
      <w:pPr>
        <w:spacing w:line="600" w:lineRule="exact"/>
        <w:ind w:firstLine="4320" w:firstLineChars="135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>
      <w:pPr>
        <w:spacing w:line="600" w:lineRule="exact"/>
        <w:ind w:firstLine="4320" w:firstLineChars="1350"/>
        <w:jc w:val="right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襄城县市场监督管理局</w:t>
      </w:r>
    </w:p>
    <w:p>
      <w:pPr>
        <w:spacing w:line="600" w:lineRule="exact"/>
        <w:ind w:firstLine="5120" w:firstLineChars="1600"/>
        <w:jc w:val="right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日</w:t>
      </w:r>
    </w:p>
    <w:p>
      <w:pPr>
        <w:spacing w:line="600" w:lineRule="exact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餐饮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食品安全承诺书</w:t>
      </w:r>
    </w:p>
    <w:p>
      <w:pPr>
        <w:widowControl w:val="0"/>
        <w:wordWrap/>
        <w:adjustRightInd/>
        <w:snapToGrid w:val="0"/>
        <w:spacing w:line="500" w:lineRule="exact"/>
        <w:ind w:firstLine="616" w:firstLineChars="200"/>
        <w:textAlignment w:val="auto"/>
        <w:rPr>
          <w:rFonts w:hint="eastAsia" w:ascii="仿宋_GB2312" w:hAnsi="仿宋" w:eastAsia="仿宋_GB2312" w:cs="仿宋"/>
          <w:snapToGrid w:val="0"/>
          <w:spacing w:val="-6"/>
          <w:kern w:val="10"/>
          <w:sz w:val="32"/>
          <w:szCs w:val="32"/>
        </w:rPr>
      </w:pPr>
    </w:p>
    <w:p>
      <w:pPr>
        <w:widowControl w:val="0"/>
        <w:wordWrap/>
        <w:adjustRightInd/>
        <w:snapToGrid w:val="0"/>
        <w:spacing w:line="500" w:lineRule="exact"/>
        <w:ind w:firstLine="616" w:firstLineChars="200"/>
        <w:textAlignment w:val="auto"/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为</w:t>
      </w: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  <w:lang w:eastAsia="zh-CN"/>
        </w:rPr>
        <w:t>严格落实企业主体责任确保</w:t>
      </w: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春节期间</w:t>
      </w: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  <w:lang w:eastAsia="zh-CN"/>
        </w:rPr>
        <w:t>餐饮</w:t>
      </w: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食品安全</w:t>
      </w: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 w:val="0"/>
        <w:spacing w:line="500" w:lineRule="exact"/>
        <w:ind w:firstLine="616" w:firstLineChars="200"/>
        <w:textAlignment w:val="auto"/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本餐饮单位郑重承诺:</w:t>
      </w:r>
    </w:p>
    <w:p>
      <w:pPr>
        <w:widowControl w:val="0"/>
        <w:wordWrap/>
        <w:adjustRightInd/>
        <w:snapToGrid w:val="0"/>
        <w:spacing w:line="500" w:lineRule="exact"/>
        <w:textAlignment w:val="auto"/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　　一、严格遵守《食品安全法》及相关法律法规，依法经营，诚信待客。</w:t>
      </w:r>
    </w:p>
    <w:p>
      <w:pPr>
        <w:widowControl w:val="0"/>
        <w:wordWrap/>
        <w:adjustRightInd/>
        <w:snapToGrid w:val="0"/>
        <w:spacing w:line="500" w:lineRule="exact"/>
        <w:textAlignment w:val="auto"/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　　二、全面落实</w:t>
      </w: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  <w:lang w:eastAsia="zh-CN"/>
        </w:rPr>
        <w:t>企业主体责任，</w:t>
      </w: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倡导公筷、公勺文明就餐</w:t>
      </w: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  <w:lang w:eastAsia="zh-CN"/>
        </w:rPr>
        <w:t>，杜绝浪费</w:t>
      </w: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。</w:t>
      </w:r>
    </w:p>
    <w:p>
      <w:pPr>
        <w:widowControl w:val="0"/>
        <w:wordWrap/>
        <w:adjustRightInd/>
        <w:snapToGrid w:val="0"/>
        <w:spacing w:line="500" w:lineRule="exact"/>
        <w:ind w:firstLine="585" w:firstLineChars="190"/>
        <w:textAlignment w:val="auto"/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三、严把食品原辅料采购索证关、验收关。禁止采购、使用腐败变质、有毒有害、来历不明的食品原料和病死畜、禽肉，严格落实食品原料索证索票和进货查验记录制度</w:t>
      </w:r>
      <w:r>
        <w:rPr>
          <w:rFonts w:hint="eastAsia" w:ascii="仿宋" w:hAnsi="仿宋" w:eastAsia="仿宋" w:cs="仿宋"/>
          <w:i w:val="0"/>
          <w:caps w:val="0"/>
          <w:snapToGrid w:val="0"/>
          <w:color w:val="auto"/>
          <w:spacing w:val="-6"/>
          <w:kern w:val="10"/>
          <w:sz w:val="32"/>
          <w:szCs w:val="32"/>
        </w:rPr>
        <w:t>。严格遵守禁止野生动物及其制品交易的相关规定，</w:t>
      </w:r>
      <w:r>
        <w:rPr>
          <w:rFonts w:hint="eastAsia" w:ascii="仿宋" w:hAnsi="仿宋" w:eastAsia="仿宋" w:cs="仿宋"/>
          <w:i w:val="0"/>
          <w:caps w:val="0"/>
          <w:snapToGrid w:val="0"/>
          <w:color w:val="auto"/>
          <w:spacing w:val="-6"/>
          <w:kern w:val="10"/>
          <w:sz w:val="32"/>
          <w:szCs w:val="32"/>
          <w:lang w:eastAsia="zh-CN"/>
        </w:rPr>
        <w:t>绝不</w:t>
      </w:r>
      <w:r>
        <w:rPr>
          <w:rFonts w:hint="eastAsia" w:ascii="仿宋" w:hAnsi="仿宋" w:eastAsia="仿宋" w:cs="仿宋"/>
          <w:i w:val="0"/>
          <w:caps w:val="0"/>
          <w:snapToGrid w:val="0"/>
          <w:color w:val="auto"/>
          <w:spacing w:val="-6"/>
          <w:kern w:val="10"/>
          <w:sz w:val="32"/>
          <w:szCs w:val="32"/>
        </w:rPr>
        <w:t>采购、经营、加工、使用野生动物及其制品。</w:t>
      </w: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。</w:t>
      </w:r>
    </w:p>
    <w:p>
      <w:pPr>
        <w:widowControl w:val="0"/>
        <w:wordWrap/>
        <w:adjustRightInd/>
        <w:snapToGrid w:val="0"/>
        <w:spacing w:line="500" w:lineRule="exact"/>
        <w:ind w:firstLine="616" w:firstLineChars="200"/>
        <w:textAlignment w:val="auto"/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四、严格</w:t>
      </w: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  <w:lang w:eastAsia="zh-CN"/>
        </w:rPr>
        <w:t>按照</w:t>
      </w: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《餐饮服务食品安全操作规范》</w:t>
      </w: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  <w:lang w:eastAsia="zh-CN"/>
        </w:rPr>
        <w:t>加工制作</w:t>
      </w: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，加工烹调过程生熟分开，防止交叉污染；严格按照国家标准使用食品添加剂，制作冷荤凉菜做到“专人、专间、专用工具、专用冷藏设施、专用消毒设施”；按照要求对餐具、饮具进行清洗、消毒、清洁。</w:t>
      </w:r>
    </w:p>
    <w:p>
      <w:pPr>
        <w:widowControl w:val="0"/>
        <w:wordWrap/>
        <w:adjustRightInd/>
        <w:snapToGrid w:val="0"/>
        <w:spacing w:line="500" w:lineRule="exact"/>
        <w:textAlignment w:val="auto"/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　　五、认真落实从业人员食品安全知识培训和健康体检制度，从业人员持有效健康证并保持个人卫生。</w:t>
      </w:r>
    </w:p>
    <w:p>
      <w:pPr>
        <w:widowControl w:val="0"/>
        <w:wordWrap/>
        <w:adjustRightInd/>
        <w:snapToGrid w:val="0"/>
        <w:spacing w:line="500" w:lineRule="exact"/>
        <w:textAlignment w:val="auto"/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　　六、保持加工经营场所内外环境整洁。</w:t>
      </w:r>
    </w:p>
    <w:p>
      <w:pPr>
        <w:widowControl w:val="0"/>
        <w:wordWrap/>
        <w:adjustRightInd/>
        <w:snapToGrid w:val="0"/>
        <w:spacing w:line="500" w:lineRule="exact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snapToGrid w:val="0"/>
          <w:color w:val="auto"/>
          <w:spacing w:val="-6"/>
          <w:kern w:val="10"/>
          <w:sz w:val="32"/>
          <w:szCs w:val="32"/>
        </w:rPr>
        <w:t>　　以上承诺，我们将认真履行，欢迎广大消费者和社会各届的监督:</w:t>
      </w:r>
    </w:p>
    <w:p>
      <w:pPr>
        <w:widowControl w:val="0"/>
        <w:wordWrap/>
        <w:adjustRightInd/>
        <w:snapToGrid w:val="0"/>
        <w:spacing w:line="500" w:lineRule="exact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承诺单位：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负责人（签名）：</w:t>
      </w:r>
    </w:p>
    <w:p>
      <w:pPr>
        <w:widowControl w:val="0"/>
        <w:wordWrap/>
        <w:adjustRightInd/>
        <w:snapToGrid w:val="0"/>
        <w:spacing w:line="500" w:lineRule="exact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                                    </w:t>
      </w:r>
    </w:p>
    <w:p>
      <w:pPr>
        <w:widowControl w:val="0"/>
        <w:wordWrap/>
        <w:adjustRightInd/>
        <w:snapToGrid w:val="0"/>
        <w:spacing w:line="500" w:lineRule="exact"/>
        <w:ind w:firstLine="5120" w:firstLineChars="16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sectPr>
          <w:pgSz w:w="11906" w:h="16838"/>
          <w:pgMar w:top="1440" w:right="1474" w:bottom="1440" w:left="1474" w:header="851" w:footer="992" w:gutter="0"/>
          <w:cols w:space="720" w:num="1"/>
          <w:docGrid w:type="lines" w:linePitch="312"/>
        </w:sect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   月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  日</w:t>
      </w:r>
    </w:p>
    <w:p/>
    <w:sectPr>
      <w:pgSz w:w="11906" w:h="16838"/>
      <w:pgMar w:top="1440" w:right="1474" w:bottom="1440" w:left="1474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962</Words>
  <Characters>969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2023-01-14T02:59:00Z</dcterms:created>
  <dc:creator>Administrator</dc:creator>
  <cp:lastModifiedBy>Z</cp:lastModifiedBy>
  <dcterms:modified xsi:type="dcterms:W3CDTF">2023-01-16T03:06:46Z</dcterms:modified>
  <dc:title>   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041BC99F7F1B4A5EBC5C67F1ED5A0BBC</vt:lpwstr>
  </property>
</Properties>
</file>