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firstLine="1320" w:firstLineChars="300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襄城县</w:t>
      </w:r>
      <w:r>
        <w:rPr>
          <w:rFonts w:hint="eastAsia" w:ascii="方正小标宋简体" w:eastAsia="方正小标宋简体"/>
          <w:bCs/>
          <w:sz w:val="44"/>
          <w:szCs w:val="44"/>
        </w:rPr>
        <w:t>巡游出租汽车更新车型</w:t>
      </w:r>
    </w:p>
    <w:p>
      <w:pPr>
        <w:spacing w:line="560" w:lineRule="exact"/>
        <w:jc w:val="center"/>
        <w:rPr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推介公选报名表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经销商签章： 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hint="eastAsia" w:ascii="宋体" w:hAnsi="宋体" w:cs="仿宋_GB2312"/>
          <w:sz w:val="24"/>
        </w:rPr>
        <w:t xml:space="preserve">      年    月    日</w:t>
      </w:r>
    </w:p>
    <w:tbl>
      <w:tblPr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115"/>
        <w:gridCol w:w="1699"/>
        <w:gridCol w:w="2095"/>
      </w:tblGrid>
      <w:tr>
        <w:trPr>
          <w:trHeight w:val="849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经销商名称</w:t>
            </w:r>
          </w:p>
        </w:tc>
        <w:tc>
          <w:tcPr>
            <w:tcW w:w="311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09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89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11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2095" w:type="dxa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193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品牌及名称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车辆最高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销售价格承诺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0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185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质保政策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181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申报车型投放城市及规模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ascii="仿宋_GB2312" w:hAnsi="仿宋_GB2312" w:eastAsia="仿宋_GB2312" w:cs="仿宋_GB2312"/>
          <w:b/>
          <w:bCs/>
          <w:sz w:val="52"/>
          <w:szCs w:val="5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tabs>
        <w:tab w:val="left" w:pos="7567"/>
        <w:tab w:val="clear" w:pos="4153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rFonts w:ascii="宋体" w:hAnsi="Times New Roman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1754</Words>
  <Characters>1864</Characters>
  <Lines>15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2022-09-27T09:06:00Z</dcterms:created>
  <dc:creator>Administrator</dc:creator>
  <cp:lastModifiedBy>Administrator</cp:lastModifiedBy>
  <cp:lastPrinted>2024-12-23T08:15:00Z</cp:lastPrinted>
  <dcterms:modified xsi:type="dcterms:W3CDTF">2024-12-23T08:48:40Z</dcterms:modified>
  <dc:title>襄城县巡游出租汽车更新车型推介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BBD3E9F90EE64400BB782E2B5F86F99C_13</vt:lpwstr>
  </property>
</Properties>
</file>