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AD" w:rsidRDefault="00234AAD" w:rsidP="00234AAD">
      <w:pPr>
        <w:pStyle w:val="3"/>
        <w:shd w:val="clear" w:color="auto" w:fill="FFFFFF"/>
        <w:spacing w:before="0" w:beforeAutospacing="0" w:after="0" w:afterAutospacing="0" w:line="690" w:lineRule="atLeast"/>
        <w:jc w:val="center"/>
        <w:rPr>
          <w:b w:val="0"/>
          <w:bCs w:val="0"/>
          <w:color w:val="454545"/>
          <w:sz w:val="42"/>
          <w:szCs w:val="42"/>
        </w:rPr>
      </w:pPr>
      <w:r>
        <w:rPr>
          <w:rFonts w:hint="eastAsia"/>
          <w:b w:val="0"/>
          <w:bCs w:val="0"/>
          <w:color w:val="454545"/>
          <w:sz w:val="42"/>
          <w:szCs w:val="42"/>
        </w:rPr>
        <w:t>工伤保险待遇项目都有哪些？</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1</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shd w:val="clear" w:color="auto" w:fill="FFCA00"/>
        </w:rPr>
        <w:t>工伤医疗（康复）待遇：</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门诊治疗；</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住院治疗；</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旧伤复发（康复）治疗；</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住院期间的伙食补助费；</w:t>
      </w:r>
      <w:bookmarkStart w:id="0" w:name="_GoBack"/>
      <w:bookmarkEnd w:id="0"/>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到统筹地区以外就医的交通和食宿费；</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工伤人员进行工伤治疗（康复）的费用，符合工伤保险诊疗项目目录、工伤保险药品目录、工伤保险住院服务标准的，由工伤保险基金支付。</w:t>
      </w:r>
    </w:p>
    <w:p w:rsidR="00234AAD" w:rsidRPr="00234AAD" w:rsidRDefault="00234AAD" w:rsidP="00234AAD">
      <w:pPr>
        <w:widowControl/>
        <w:jc w:val="left"/>
        <w:rPr>
          <w:rFonts w:ascii="宋体" w:eastAsia="宋体" w:hAnsi="宋体" w:cs="宋体"/>
          <w:kern w:val="0"/>
          <w:sz w:val="24"/>
          <w:szCs w:val="24"/>
        </w:rPr>
      </w:pP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2</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shd w:val="clear" w:color="auto" w:fill="FFCA00"/>
        </w:rPr>
        <w:t>停工留薪期待遇：</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工伤职工在停工留薪期内</w:t>
      </w:r>
      <w:r w:rsidRPr="00234AAD">
        <w:rPr>
          <w:rFonts w:ascii="宋体" w:eastAsia="宋体" w:hAnsi="宋体" w:cs="宋体"/>
          <w:color w:val="01749D"/>
          <w:kern w:val="0"/>
          <w:sz w:val="24"/>
          <w:szCs w:val="24"/>
        </w:rPr>
        <w:t>原工资福利待遇不变</w:t>
      </w:r>
      <w:r w:rsidRPr="00234AAD">
        <w:rPr>
          <w:rFonts w:ascii="宋体" w:eastAsia="宋体" w:hAnsi="宋体" w:cs="宋体"/>
          <w:kern w:val="0"/>
          <w:sz w:val="24"/>
          <w:szCs w:val="24"/>
        </w:rPr>
        <w:t>，由所在单位按月支付；</w:t>
      </w:r>
    </w:p>
    <w:p w:rsidR="00234AAD" w:rsidRPr="00234AAD" w:rsidRDefault="00234AAD" w:rsidP="00234AAD">
      <w:pPr>
        <w:widowControl/>
        <w:jc w:val="left"/>
        <w:rPr>
          <w:rFonts w:ascii="宋体" w:eastAsia="宋体" w:hAnsi="宋体" w:cs="宋体" w:hint="eastAsia"/>
          <w:kern w:val="0"/>
          <w:sz w:val="24"/>
          <w:szCs w:val="24"/>
        </w:rPr>
      </w:pPr>
      <w:r w:rsidRPr="00234AAD">
        <w:rPr>
          <w:rFonts w:ascii="宋体" w:eastAsia="宋体" w:hAnsi="宋体" w:cs="宋体"/>
          <w:kern w:val="0"/>
          <w:sz w:val="24"/>
          <w:szCs w:val="24"/>
        </w:rPr>
        <w:t>住院期间需要陪护的，由所在单位派人陪护或按照</w:t>
      </w:r>
      <w:r w:rsidRPr="00234AAD">
        <w:rPr>
          <w:rFonts w:ascii="宋体" w:eastAsia="宋体" w:hAnsi="宋体" w:cs="宋体"/>
          <w:color w:val="01749D"/>
          <w:kern w:val="0"/>
          <w:sz w:val="24"/>
          <w:szCs w:val="24"/>
        </w:rPr>
        <w:t>统筹地区上年度职工月平均工资40%的标准</w:t>
      </w:r>
      <w:r w:rsidRPr="00234AAD">
        <w:rPr>
          <w:rFonts w:ascii="宋体" w:eastAsia="宋体" w:hAnsi="宋体" w:cs="宋体"/>
          <w:kern w:val="0"/>
          <w:sz w:val="24"/>
          <w:szCs w:val="24"/>
        </w:rPr>
        <w:t>发给陪护费。</w:t>
      </w:r>
    </w:p>
    <w:p w:rsidR="00234AAD" w:rsidRPr="00234AAD" w:rsidRDefault="00234AAD" w:rsidP="00234AAD">
      <w:pPr>
        <w:widowControl/>
        <w:jc w:val="left"/>
        <w:rPr>
          <w:rFonts w:ascii="宋体" w:eastAsia="宋体" w:hAnsi="宋体" w:cs="宋体"/>
          <w:kern w:val="0"/>
          <w:sz w:val="24"/>
          <w:szCs w:val="24"/>
        </w:rPr>
      </w:pP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3</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shd w:val="clear" w:color="auto" w:fill="FFCA00"/>
        </w:rPr>
        <w:t>辅助器具配置待遇：</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工伤职工因日常生活或者就业需要，经劳动能力鉴定委员会确认，需要安装假肢、矫形器、假眼、假牙和配置轮椅等辅助器具的，所需费用按照《河南省工伤职工辅助器具配置项目及费用限额标准》由工伤保险基金支付，超出限额标准的费用由工伤职工自行承担。</w:t>
      </w:r>
    </w:p>
    <w:p w:rsidR="00234AAD" w:rsidRPr="00234AAD" w:rsidRDefault="00234AAD" w:rsidP="00234AAD">
      <w:pPr>
        <w:widowControl/>
        <w:jc w:val="left"/>
        <w:rPr>
          <w:rFonts w:ascii="宋体" w:eastAsia="宋体" w:hAnsi="宋体" w:cs="宋体" w:hint="eastAsia"/>
          <w:kern w:val="0"/>
          <w:sz w:val="24"/>
          <w:szCs w:val="24"/>
        </w:rPr>
      </w:pP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4</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shd w:val="clear" w:color="auto" w:fill="FFCA00"/>
        </w:rPr>
        <w:t>伤残待遇：</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color w:val="FF8124"/>
          <w:kern w:val="0"/>
          <w:sz w:val="24"/>
          <w:szCs w:val="24"/>
        </w:rPr>
        <w:t>一至四级伤残</w:t>
      </w:r>
      <w:r w:rsidRPr="00234AAD">
        <w:rPr>
          <w:rFonts w:ascii="宋体" w:eastAsia="宋体" w:hAnsi="宋体" w:cs="宋体"/>
          <w:kern w:val="0"/>
          <w:sz w:val="24"/>
          <w:szCs w:val="24"/>
        </w:rPr>
        <w:t>享受一次性伤残补助金、伤残津贴；</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color w:val="FF8124"/>
          <w:kern w:val="0"/>
          <w:sz w:val="24"/>
          <w:szCs w:val="24"/>
        </w:rPr>
        <w:t>五至六级伤残</w:t>
      </w:r>
      <w:r w:rsidRPr="00234AAD">
        <w:rPr>
          <w:rFonts w:ascii="宋体" w:eastAsia="宋体" w:hAnsi="宋体" w:cs="宋体"/>
          <w:kern w:val="0"/>
          <w:sz w:val="24"/>
          <w:szCs w:val="24"/>
        </w:rPr>
        <w:t>享受一次性伤残补助金、伤残津贴以及解除或终止劳动关系后的一次性工伤医疗补助金和一次性伤残就业补助金；</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color w:val="FF8124"/>
          <w:kern w:val="0"/>
          <w:sz w:val="24"/>
          <w:szCs w:val="24"/>
        </w:rPr>
        <w:t>七至十级伤残</w:t>
      </w:r>
      <w:r w:rsidRPr="00234AAD">
        <w:rPr>
          <w:rFonts w:ascii="宋体" w:eastAsia="宋体" w:hAnsi="宋体" w:cs="宋体"/>
          <w:kern w:val="0"/>
          <w:sz w:val="24"/>
          <w:szCs w:val="24"/>
        </w:rPr>
        <w:t>享受一次性伤残补助金以及解除或终止劳动关系后的一次性工伤医疗补助金和一次性伤残就业补助金。</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一至四级工伤职工根据不同的</w:t>
      </w:r>
      <w:r w:rsidRPr="00234AAD">
        <w:rPr>
          <w:rFonts w:ascii="宋体" w:eastAsia="宋体" w:hAnsi="宋体" w:cs="宋体"/>
          <w:color w:val="FF8124"/>
          <w:kern w:val="0"/>
          <w:sz w:val="24"/>
          <w:szCs w:val="24"/>
        </w:rPr>
        <w:t>护理依赖程度</w:t>
      </w:r>
      <w:r w:rsidRPr="00234AAD">
        <w:rPr>
          <w:rFonts w:ascii="宋体" w:eastAsia="宋体" w:hAnsi="宋体" w:cs="宋体"/>
          <w:kern w:val="0"/>
          <w:sz w:val="24"/>
          <w:szCs w:val="24"/>
        </w:rPr>
        <w:t>（完全护理依赖、大部分护理依赖、部分护理依赖），享受相应的生活护理费。</w:t>
      </w:r>
    </w:p>
    <w:p w:rsidR="00234AAD" w:rsidRPr="00234AAD" w:rsidRDefault="00234AAD" w:rsidP="00234AAD">
      <w:pPr>
        <w:widowControl/>
        <w:jc w:val="left"/>
        <w:rPr>
          <w:rFonts w:ascii="宋体" w:eastAsia="宋体" w:hAnsi="宋体" w:cs="宋体" w:hint="eastAsia"/>
          <w:kern w:val="0"/>
          <w:sz w:val="24"/>
          <w:szCs w:val="24"/>
        </w:rPr>
      </w:pPr>
    </w:p>
    <w:p w:rsidR="00234AAD" w:rsidRPr="00234AAD" w:rsidRDefault="00234AAD" w:rsidP="00234AAD">
      <w:pPr>
        <w:widowControl/>
        <w:jc w:val="left"/>
        <w:rPr>
          <w:rFonts w:ascii="宋体" w:eastAsia="宋体" w:hAnsi="宋体" w:cs="宋体"/>
          <w:kern w:val="0"/>
          <w:sz w:val="24"/>
          <w:szCs w:val="24"/>
        </w:rPr>
      </w:pPr>
      <w:r>
        <w:rPr>
          <w:rFonts w:ascii="宋体" w:eastAsia="宋体" w:hAnsi="宋体" w:cs="宋体" w:hint="eastAsia"/>
          <w:kern w:val="0"/>
          <w:sz w:val="24"/>
          <w:szCs w:val="24"/>
        </w:rPr>
        <w:t>5</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shd w:val="clear" w:color="auto" w:fill="FFCA00"/>
        </w:rPr>
        <w:t>工亡待遇：</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一次性工亡补助金；</w:t>
      </w:r>
    </w:p>
    <w:p w:rsidR="00234AAD" w:rsidRPr="00234AAD" w:rsidRDefault="00234AAD" w:rsidP="00234AAD">
      <w:pPr>
        <w:widowControl/>
        <w:jc w:val="left"/>
        <w:rPr>
          <w:rFonts w:ascii="宋体" w:eastAsia="宋体" w:hAnsi="宋体" w:cs="宋体"/>
          <w:kern w:val="0"/>
          <w:sz w:val="24"/>
          <w:szCs w:val="24"/>
        </w:rPr>
      </w:pPr>
      <w:r w:rsidRPr="00234AAD">
        <w:rPr>
          <w:rFonts w:ascii="宋体" w:eastAsia="宋体" w:hAnsi="宋体" w:cs="宋体"/>
          <w:kern w:val="0"/>
          <w:sz w:val="24"/>
          <w:szCs w:val="24"/>
        </w:rPr>
        <w:t>丧葬补助金；</w:t>
      </w:r>
    </w:p>
    <w:p w:rsidR="00F3779D" w:rsidRPr="00234AAD" w:rsidRDefault="00234AAD" w:rsidP="00234AAD">
      <w:pPr>
        <w:widowControl/>
        <w:jc w:val="left"/>
      </w:pPr>
      <w:r w:rsidRPr="00234AAD">
        <w:rPr>
          <w:rFonts w:ascii="宋体" w:eastAsia="宋体" w:hAnsi="宋体" w:cs="宋体"/>
          <w:kern w:val="0"/>
          <w:sz w:val="24"/>
          <w:szCs w:val="24"/>
        </w:rPr>
        <w:t>供养亲属抚恤金</w:t>
      </w:r>
    </w:p>
    <w:sectPr w:rsidR="00F3779D" w:rsidRPr="00234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Arial"/>
    <w:panose1 w:val="02020603050405020304"/>
    <w:charset w:val="00"/>
    <w:family w:val="roman"/>
    <w:pitch w:val="variable"/>
    <w:sig w:usb0="00000000"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22"/>
    <w:rsid w:val="00234AAD"/>
    <w:rsid w:val="00A85922"/>
    <w:rsid w:val="00BF2C25"/>
    <w:rsid w:val="00D833EF"/>
    <w:rsid w:val="00F3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DA22"/>
  <w15:chartTrackingRefBased/>
  <w15:docId w15:val="{4CC12D75-8CA1-45EA-B72C-FF1F478F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BF2C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C25"/>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BF2C25"/>
    <w:rPr>
      <w:rFonts w:ascii="宋体" w:eastAsia="宋体" w:hAnsi="宋体" w:cs="宋体"/>
      <w:b/>
      <w:bCs/>
      <w:kern w:val="0"/>
      <w:sz w:val="27"/>
      <w:szCs w:val="27"/>
    </w:rPr>
  </w:style>
  <w:style w:type="character" w:styleId="a4">
    <w:name w:val="Strong"/>
    <w:basedOn w:val="a0"/>
    <w:uiPriority w:val="22"/>
    <w:qFormat/>
    <w:rsid w:val="00234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3739">
      <w:bodyDiv w:val="1"/>
      <w:marLeft w:val="0"/>
      <w:marRight w:val="0"/>
      <w:marTop w:val="0"/>
      <w:marBottom w:val="0"/>
      <w:divBdr>
        <w:top w:val="none" w:sz="0" w:space="0" w:color="auto"/>
        <w:left w:val="none" w:sz="0" w:space="0" w:color="auto"/>
        <w:bottom w:val="none" w:sz="0" w:space="0" w:color="auto"/>
        <w:right w:val="none" w:sz="0" w:space="0" w:color="auto"/>
      </w:divBdr>
    </w:div>
    <w:div w:id="338432117">
      <w:bodyDiv w:val="1"/>
      <w:marLeft w:val="0"/>
      <w:marRight w:val="0"/>
      <w:marTop w:val="0"/>
      <w:marBottom w:val="0"/>
      <w:divBdr>
        <w:top w:val="none" w:sz="0" w:space="0" w:color="auto"/>
        <w:left w:val="none" w:sz="0" w:space="0" w:color="auto"/>
        <w:bottom w:val="none" w:sz="0" w:space="0" w:color="auto"/>
        <w:right w:val="none" w:sz="0" w:space="0" w:color="auto"/>
      </w:divBdr>
    </w:div>
    <w:div w:id="495000713">
      <w:bodyDiv w:val="1"/>
      <w:marLeft w:val="0"/>
      <w:marRight w:val="0"/>
      <w:marTop w:val="0"/>
      <w:marBottom w:val="0"/>
      <w:divBdr>
        <w:top w:val="none" w:sz="0" w:space="0" w:color="auto"/>
        <w:left w:val="none" w:sz="0" w:space="0" w:color="auto"/>
        <w:bottom w:val="none" w:sz="0" w:space="0" w:color="auto"/>
        <w:right w:val="none" w:sz="0" w:space="0" w:color="auto"/>
      </w:divBdr>
    </w:div>
    <w:div w:id="1989479022">
      <w:bodyDiv w:val="1"/>
      <w:marLeft w:val="0"/>
      <w:marRight w:val="0"/>
      <w:marTop w:val="0"/>
      <w:marBottom w:val="0"/>
      <w:divBdr>
        <w:top w:val="none" w:sz="0" w:space="0" w:color="auto"/>
        <w:left w:val="none" w:sz="0" w:space="0" w:color="auto"/>
        <w:bottom w:val="none" w:sz="0" w:space="0" w:color="auto"/>
        <w:right w:val="none" w:sz="0" w:space="0" w:color="auto"/>
      </w:divBdr>
      <w:divsChild>
        <w:div w:id="1421025532">
          <w:marLeft w:val="0"/>
          <w:marRight w:val="0"/>
          <w:marTop w:val="0"/>
          <w:marBottom w:val="0"/>
          <w:divBdr>
            <w:top w:val="none" w:sz="0" w:space="0" w:color="auto"/>
            <w:left w:val="none" w:sz="0" w:space="0" w:color="auto"/>
            <w:bottom w:val="none" w:sz="0" w:space="0" w:color="auto"/>
            <w:right w:val="none" w:sz="0" w:space="0" w:color="auto"/>
          </w:divBdr>
          <w:divsChild>
            <w:div w:id="9371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136">
      <w:bodyDiv w:val="1"/>
      <w:marLeft w:val="0"/>
      <w:marRight w:val="0"/>
      <w:marTop w:val="0"/>
      <w:marBottom w:val="0"/>
      <w:divBdr>
        <w:top w:val="none" w:sz="0" w:space="0" w:color="auto"/>
        <w:left w:val="none" w:sz="0" w:space="0" w:color="auto"/>
        <w:bottom w:val="none" w:sz="0" w:space="0" w:color="auto"/>
        <w:right w:val="none" w:sz="0" w:space="0" w:color="auto"/>
      </w:divBdr>
    </w:div>
    <w:div w:id="21083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89</Words>
  <Characters>509</Characters>
  <Application>Microsoft Office Word</Application>
  <DocSecurity>0</DocSecurity>
  <Lines>4</Lines>
  <Paragraphs>1</Paragraphs>
  <ScaleCrop>false</ScaleCrop>
  <Company>Organization</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2024-11-12T07:35:00Z</dcterms:created>
  <dcterms:modified xsi:type="dcterms:W3CDTF">2024-11-12T08:01:00Z</dcterms:modified>
</cp:coreProperties>
</file>