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BB71">
      <w:pPr>
        <w:pStyle w:val="13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416909ED">
      <w:pPr>
        <w:pStyle w:val="13"/>
        <w:jc w:val="center"/>
        <w:rPr>
          <w:rStyle w:val="22"/>
          <w:rFonts w:hint="eastAsia" w:ascii="宋体" w:hAnsi="宋体" w:eastAsia="宋体"/>
          <w:b/>
          <w:spacing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2"/>
          <w:rFonts w:hint="eastAsia" w:ascii="宋体" w:hAnsi="宋体" w:eastAsia="宋体"/>
          <w:b/>
          <w:spacing w:val="0"/>
          <w:sz w:val="44"/>
          <w:szCs w:val="44"/>
        </w:rPr>
        <w:t>水源水质状况报告</w:t>
      </w:r>
      <w:bookmarkEnd w:id="0"/>
    </w:p>
    <w:p w14:paraId="197F55B1">
      <w:pPr>
        <w:pStyle w:val="13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第三季度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1879D8A8">
      <w:pPr>
        <w:pStyle w:val="9"/>
        <w:shd w:val="clear" w:color="auto" w:fill="auto"/>
        <w:tabs>
          <w:tab w:val="left" w:pos="1207"/>
        </w:tabs>
        <w:spacing w:line="600" w:lineRule="exact"/>
        <w:ind w:firstLine="643" w:firstLineChars="200"/>
        <w:jc w:val="both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103BD81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按照《2024年许昌市生态环境监测方案的通知》要求，许昌市生态环境局襄城分局按照环境监测技术规范要求，安排人员对</w:t>
      </w:r>
    </w:p>
    <w:p w14:paraId="56743EAA">
      <w:pPr>
        <w:pStyle w:val="10"/>
        <w:shd w:val="clear" w:color="auto" w:fill="auto"/>
        <w:spacing w:line="600" w:lineRule="exact"/>
        <w:ind w:left="0" w:leftChars="0" w:firstLine="0" w:firstLineChars="0"/>
        <w:jc w:val="left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我县城市集中式饮用水水源第三水厂开展采样监测。</w:t>
      </w:r>
    </w:p>
    <w:p w14:paraId="4D438CCE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Fonts w:ascii="宋体" w:hAnsi="宋体" w:eastAsia="宋体"/>
          <w:spacing w:val="0"/>
        </w:rPr>
      </w:pPr>
      <w:r>
        <w:rPr>
          <w:rStyle w:val="15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5D09A80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条件，在配水井处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采样。</w:t>
      </w:r>
    </w:p>
    <w:p w14:paraId="039021F2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Fonts w:ascii="宋体" w:hAnsi="宋体" w:eastAsia="宋体"/>
          <w:b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1263912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地表水水源：监测项目为《地表水环境质量标准》（GB3828-2002)中的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62项。</w:t>
      </w:r>
    </w:p>
    <w:p w14:paraId="0796E353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Style w:val="15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6C40B46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TW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第三水厂水源根据《地表水环境质量标准》（GB3828-2002)采用单因子评价法进行评价。</w:t>
      </w:r>
    </w:p>
    <w:p w14:paraId="38CA0CC9">
      <w:pPr>
        <w:pStyle w:val="9"/>
        <w:shd w:val="clear" w:color="auto" w:fill="auto"/>
        <w:tabs>
          <w:tab w:val="left" w:pos="5470"/>
        </w:tabs>
        <w:spacing w:line="619" w:lineRule="exact"/>
        <w:ind w:firstLine="643" w:firstLineChars="200"/>
        <w:jc w:val="both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571B0597">
      <w:pPr>
        <w:pStyle w:val="12"/>
        <w:shd w:val="clear" w:color="auto" w:fill="auto"/>
        <w:spacing w:line="619" w:lineRule="exact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3143305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监测因子全部达标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</w:t>
      </w:r>
    </w:p>
    <w:p w14:paraId="50DB9A35">
      <w:pPr>
        <w:pStyle w:val="12"/>
        <w:shd w:val="clear" w:color="auto" w:fill="auto"/>
        <w:spacing w:before="240" w:after="37" w:line="350" w:lineRule="exact"/>
        <w:ind w:left="0" w:leftChars="0" w:firstLine="321" w:firstLineChars="1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348C965D">
      <w:pPr>
        <w:pStyle w:val="7"/>
        <w:shd w:val="clear" w:color="auto" w:fill="auto"/>
        <w:spacing w:before="0" w:after="0" w:line="624" w:lineRule="exact"/>
        <w:ind w:left="561" w:leftChars="100" w:right="420" w:hanging="321" w:hangingChars="100"/>
        <w:jc w:val="both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5"/>
          <w:rFonts w:eastAsia="宋体"/>
          <w:b/>
          <w:spacing w:val="0"/>
          <w:sz w:val="32"/>
          <w:szCs w:val="32"/>
        </w:rPr>
        <w:t xml:space="preserve"> </w:t>
      </w:r>
      <w:r>
        <w:rPr>
          <w:rStyle w:val="15"/>
          <w:rFonts w:hint="eastAsia" w:eastAsia="宋体"/>
          <w:b/>
          <w:spacing w:val="0"/>
          <w:sz w:val="32"/>
          <w:szCs w:val="32"/>
        </w:rPr>
        <w:t xml:space="preserve">  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监测因子全部符合《地表水（GB3828-2002)Ⅲ类水标准。</w:t>
      </w:r>
    </w:p>
    <w:p w14:paraId="2B5CC418">
      <w:pPr>
        <w:pStyle w:val="12"/>
        <w:shd w:val="clear" w:color="auto" w:fill="auto"/>
        <w:spacing w:line="619" w:lineRule="exact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BEA08AE">
      <w:pPr>
        <w:pStyle w:val="11"/>
        <w:shd w:val="clear" w:color="auto" w:fill="auto"/>
        <w:spacing w:after="752" w:line="440" w:lineRule="exact"/>
        <w:ind w:right="40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</w:p>
    <w:p w14:paraId="4EFE8FA9">
      <w:pPr>
        <w:pStyle w:val="11"/>
        <w:shd w:val="clear" w:color="auto" w:fill="auto"/>
        <w:spacing w:after="752" w:line="440" w:lineRule="exact"/>
        <w:ind w:right="40"/>
        <w:jc w:val="left"/>
        <w:rPr>
          <w:rStyle w:val="26"/>
          <w:rFonts w:hint="eastAsia" w:eastAsia="宋体"/>
          <w:spacing w:val="0"/>
          <w:sz w:val="32"/>
          <w:szCs w:val="32"/>
          <w:lang w:val="en-US" w:eastAsia="zh-CN"/>
        </w:rPr>
      </w:pPr>
      <w:r>
        <w:rPr>
          <w:rStyle w:val="26"/>
          <w:rFonts w:hint="eastAsia" w:eastAsia="宋体"/>
          <w:spacing w:val="0"/>
          <w:sz w:val="32"/>
          <w:szCs w:val="32"/>
          <w:lang w:val="en-US" w:eastAsia="zh-CN"/>
        </w:rPr>
        <w:t>附表</w:t>
      </w:r>
      <w:bookmarkStart w:id="2" w:name="_GoBack"/>
      <w:bookmarkEnd w:id="2"/>
    </w:p>
    <w:p w14:paraId="08B7357F">
      <w:pPr>
        <w:pStyle w:val="11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w:rPr>
          <w:rFonts w:ascii="MingLiU" w:hAnsi="MingLiU" w:eastAsia="MingLiU" w:cs="MingLiU"/>
          <w:color w:val="auto"/>
          <w:spacing w:val="-50"/>
          <w:kern w:val="2"/>
          <w:sz w:val="39"/>
          <w:szCs w:val="39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6BB8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ZGx72gAAAAkBAAAPAAAAAAAAAAEAIAAAACIAAABkcnMvZG93bnJldi54bWxQ&#10;SwECFAAUAAAACACHTuJAubKFt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A8D6BB8"/>
                  </w:txbxContent>
                </v:textbox>
                <w10:wrap type="topAndBottom"/>
              </v:rect>
            </w:pict>
          </mc:Fallback>
        </mc:AlternateContent>
      </w:r>
      <w:bookmarkStart w:id="1" w:name="bookmark5"/>
      <w:r>
        <w:rPr>
          <w:rStyle w:val="26"/>
          <w:rFonts w:eastAsia="宋体"/>
          <w:spacing w:val="0"/>
        </w:rPr>
        <w:t>20</w:t>
      </w:r>
      <w:r>
        <w:rPr>
          <w:rStyle w:val="26"/>
          <w:rFonts w:hint="eastAsia" w:eastAsia="宋体"/>
          <w:spacing w:val="0"/>
          <w:lang w:val="en-US" w:eastAsia="zh-CN"/>
        </w:rPr>
        <w:t>24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val="en-US" w:eastAsia="zh-CN"/>
        </w:rPr>
        <w:t>第三季度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C5A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937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C0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53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EE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2AE38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33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9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2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381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CA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88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70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12D0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11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水</w:t>
            </w:r>
            <w:r>
              <w:rPr>
                <w:rFonts w:hint="eastAsia"/>
                <w:sz w:val="28"/>
                <w:szCs w:val="28"/>
              </w:rPr>
              <w:t>源）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A67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0D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09663375">
      <w:pPr>
        <w:pStyle w:val="7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0B65380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CBFE">
    <w:pPr>
      <w:rPr>
        <w:sz w:val="2"/>
        <w:szCs w:val="2"/>
      </w:rPr>
    </w:pPr>
    <w:r>
      <w:rPr>
        <w:rFonts w:ascii="Courier New" w:hAnsi="Courier New" w:eastAsia="宋体" w:cs="Courier New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C6A6"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tBIUjYAAAACwEAAA8AAAAAAAAAAQAgAAAAIgAAAGRycy9kb3du&#10;cmV2LnhtbFBLAQIUABQAAAAIAIdO4kCD1kJPxgEAAIs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5C6A6"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lang w:val="zh-TW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OTRiYjM4MmVjY2FiYzg1MDQ1NTFmNzk1M2Y3NWYifQ=="/>
  </w:docVars>
  <w:rsids>
    <w:rsidRoot w:val="00000000"/>
    <w:rsid w:val="18AB4A9F"/>
    <w:rsid w:val="36BB69D9"/>
    <w:rsid w:val="4FE65048"/>
    <w:rsid w:val="551E7CB1"/>
    <w:rsid w:val="572A5201"/>
    <w:rsid w:val="7278765C"/>
    <w:rsid w:val="76CE6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3"/>
    <w:basedOn w:val="1"/>
    <w:link w:val="14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paragraph" w:customStyle="1" w:styleId="8">
    <w:name w:val="页眉或页脚"/>
    <w:basedOn w:val="1"/>
    <w:link w:val="16"/>
    <w:qFormat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paragraph" w:customStyle="1" w:styleId="9">
    <w:name w:val="正文文本 (6)"/>
    <w:basedOn w:val="1"/>
    <w:link w:val="18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0">
    <w:name w:val="正文文本 (7)"/>
    <w:basedOn w:val="1"/>
    <w:link w:val="20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1">
    <w:name w:val="正文文本 (10)"/>
    <w:basedOn w:val="1"/>
    <w:link w:val="21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paragraph" w:customStyle="1" w:styleId="12">
    <w:name w:val="正文文本 (11)"/>
    <w:basedOn w:val="1"/>
    <w:link w:val="24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paragraph" w:customStyle="1" w:styleId="13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14">
    <w:name w:val="正文文本_"/>
    <w:basedOn w:val="6"/>
    <w:link w:val="7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character" w:customStyle="1" w:styleId="15">
    <w:name w:val="正文文本 + SimSun"/>
    <w:basedOn w:val="14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6">
    <w:name w:val="页眉或页脚_"/>
    <w:basedOn w:val="6"/>
    <w:link w:val="8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character" w:customStyle="1" w:styleId="17">
    <w:name w:val="正文文本 + 间距 3 pt"/>
    <w:basedOn w:val="14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8">
    <w:name w:val="正文文本 (6)_"/>
    <w:basedOn w:val="6"/>
    <w:link w:val="9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19">
    <w:name w:val="正文文本2"/>
    <w:basedOn w:val="14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20">
    <w:name w:val="正文文本 (7)_"/>
    <w:basedOn w:val="6"/>
    <w:link w:val="10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21">
    <w:name w:val="正文文本 (10)_"/>
    <w:basedOn w:val="6"/>
    <w:link w:val="11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character" w:customStyle="1" w:styleId="22">
    <w:name w:val="正文文本 (10) + 间距 2 pt"/>
    <w:basedOn w:val="21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3">
    <w:name w:val="正文文本 + 间距 2 pt"/>
    <w:basedOn w:val="14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4">
    <w:name w:val="正文文本 (11)_"/>
    <w:basedOn w:val="6"/>
    <w:link w:val="12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character" w:customStyle="1" w:styleId="25">
    <w:name w:val="页眉或页脚 + 间距 0 pt"/>
    <w:basedOn w:val="16"/>
    <w:qFormat/>
    <w:uiPriority w:val="99"/>
    <w:rPr>
      <w:color w:val="000000"/>
      <w:spacing w:val="-10"/>
      <w:w w:val="100"/>
      <w:position w:val="0"/>
    </w:rPr>
  </w:style>
  <w:style w:type="character" w:customStyle="1" w:styleId="26">
    <w:name w:val="正文文本 (10) + SimSun"/>
    <w:basedOn w:val="21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7">
    <w:name w:val="正文文本 + SimHei"/>
    <w:basedOn w:val="14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8">
    <w:name w:val="页眉 Char Char"/>
    <w:basedOn w:val="6"/>
    <w:link w:val="4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 Char"/>
    <w:basedOn w:val="6"/>
    <w:link w:val="3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 Char"/>
    <w:basedOn w:val="6"/>
    <w:link w:val="2"/>
    <w:qFormat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374</Characters>
  <Lines>6</Lines>
  <Paragraphs>1</Paragraphs>
  <TotalTime>208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zz</cp:lastModifiedBy>
  <cp:lastPrinted>2024-08-14T01:09:00Z</cp:lastPrinted>
  <dcterms:modified xsi:type="dcterms:W3CDTF">2024-11-08T00:23:07Z</dcterms:modified>
  <dc:title>2016年6月许昌市城市集中式饮用水水源水质状况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AA15993D69F84EB98AFA18A20FBC5DC1_13</vt:lpwstr>
  </property>
</Properties>
</file>