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附件19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lang w:val="en-US" w:eastAsia="zh-CN" w:bidi="ar"/>
        </w:rPr>
        <w:t>2021年襄城县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审计局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权责清单目录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（16项）</w:t>
      </w:r>
    </w:p>
    <w:tbl>
      <w:tblPr>
        <w:tblStyle w:val="3"/>
        <w:tblpPr w:leftFromText="180" w:rightFromText="180" w:vertAnchor="text" w:horzAnchor="page" w:tblpXSpec="center" w:tblpY="405"/>
        <w:tblOverlap w:val="never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41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被审计单位拒绝、拖延提供与审计事项有关资料，或者提供资料不真实、不完整，或者拒绝、阻碍检查行为的处罚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被审计单位违反国家规定的财务收支行为的处罚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封存被审计单位有关资料、违规资产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暂停拨付有关款项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对违反国家规定的财政收支行为采取处理措施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财政预算执行、决算及其他财政收支情况审计监督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事业组织财务收支审计监督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国有企业审计监督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政府投资建设项目审计监督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经济责任审计监督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社会保障资金审计监督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外资运用审计监督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专项审计调查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金融机构审计监督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《审计法》以外的法律、行政法规规定的和上级部门授权、委托的审计事项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7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社会审计机构的审计报告核查</w:t>
            </w:r>
          </w:p>
        </w:tc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其他职权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3D59"/>
    <w:rsid w:val="4AB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2021-12-20T07:13:00Z</dcterms:created>
  <dc:creator>Administrator</dc:creator>
  <cp:lastModifiedBy>Administrator</cp:lastModifiedBy>
  <dcterms:modified xsi:type="dcterms:W3CDTF">2021-12-20T07:13:32Z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