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等线" w:hAnsi="等线" w:eastAsia="等线" w:cs="等线"/>
          <w:kern w:val="0"/>
          <w:sz w:val="27"/>
          <w:szCs w:val="27"/>
          <w:bdr w:val="none" w:color="auto" w:sz="0" w:space="0"/>
          <w:lang w:val="en-US" w:eastAsia="zh-CN" w:bidi="ar"/>
        </w:rPr>
      </w:pPr>
      <w:bookmarkStart w:id="0" w:name="_GoBack"/>
      <w:r>
        <w:rPr>
          <w:rFonts w:ascii="等线" w:hAnsi="等线" w:eastAsia="等线" w:cs="等线"/>
          <w:kern w:val="0"/>
          <w:sz w:val="27"/>
          <w:szCs w:val="27"/>
          <w:bdr w:val="none" w:color="auto" w:sz="0" w:space="0"/>
          <w:lang w:val="en-US" w:eastAsia="zh-CN" w:bidi="ar"/>
        </w:rPr>
        <w:t>2023年城乡居民基本养老保险缴费指南</w:t>
      </w:r>
    </w:p>
    <w:bookmarkEnd w:id="0"/>
    <w:p>
      <w:pPr>
        <w:keepNext w:val="0"/>
        <w:keepLines w:val="0"/>
        <w:widowControl/>
        <w:suppressLineNumbers w:val="0"/>
        <w:jc w:val="left"/>
      </w:pPr>
      <w:r>
        <w:rPr>
          <w:rFonts w:ascii="黑体" w:hAnsi="宋体" w:eastAsia="黑体" w:cs="黑体"/>
          <w:color w:val="000000"/>
          <w:spacing w:val="0"/>
          <w:kern w:val="0"/>
          <w:sz w:val="27"/>
          <w:szCs w:val="27"/>
          <w:bdr w:val="none" w:color="auto" w:sz="0" w:space="0"/>
          <w:lang w:val="en-US" w:eastAsia="zh-CN" w:bidi="ar"/>
        </w:rPr>
        <w:t>一、缴费对象</w:t>
      </w:r>
      <w:r>
        <w:rPr>
          <w:rFonts w:ascii="仿宋_GB2312" w:hAnsi="宋体" w:eastAsia="仿宋_GB2312" w:cs="仿宋_GB2312"/>
          <w:color w:val="000000"/>
          <w:kern w:val="0"/>
          <w:sz w:val="27"/>
          <w:szCs w:val="27"/>
          <w:bdr w:val="none" w:color="auto" w:sz="0" w:space="0"/>
          <w:lang w:val="en-US" w:eastAsia="zh-CN" w:bidi="ar"/>
        </w:rPr>
        <w:t>凡年满16周岁（不含在校学生）、非国家机关和事业单位工作人员及不属于职工基本养老保险制度覆盖范围的城乡居民。</w:t>
      </w:r>
      <w:r>
        <w:rPr>
          <w:rFonts w:hint="eastAsia" w:ascii="仿宋_GB2312" w:hAnsi="宋体" w:eastAsia="仿宋_GB2312" w:cs="仿宋_GB2312"/>
          <w:kern w:val="0"/>
          <w:sz w:val="27"/>
          <w:szCs w:val="27"/>
          <w:bdr w:val="none" w:color="auto" w:sz="0" w:space="0"/>
          <w:lang w:val="en-US" w:eastAsia="zh-CN" w:bidi="ar"/>
        </w:rPr>
        <w:t>   </w:t>
      </w:r>
      <w:r>
        <w:rPr>
          <w:rFonts w:hint="eastAsia" w:ascii="黑体" w:hAnsi="宋体" w:eastAsia="黑体" w:cs="黑体"/>
          <w:color w:val="000000"/>
          <w:spacing w:val="0"/>
          <w:kern w:val="0"/>
          <w:sz w:val="27"/>
          <w:szCs w:val="27"/>
          <w:bdr w:val="none" w:color="auto" w:sz="0" w:space="0"/>
          <w:lang w:val="en-US" w:eastAsia="zh-CN" w:bidi="ar"/>
        </w:rPr>
        <w:t>二、缴费时间</w:t>
      </w:r>
      <w:r>
        <w:rPr>
          <w:rFonts w:ascii="仿宋" w:hAnsi="仿宋" w:eastAsia="仿宋" w:cs="仿宋"/>
          <w:kern w:val="0"/>
          <w:sz w:val="27"/>
          <w:szCs w:val="27"/>
          <w:bdr w:val="none" w:color="auto" w:sz="0" w:space="0"/>
          <w:lang w:val="en-US" w:eastAsia="zh-CN" w:bidi="ar"/>
        </w:rPr>
        <w:t>2023年1月1日-2023年12月31日</w:t>
      </w:r>
      <w:r>
        <w:rPr>
          <w:rFonts w:hint="eastAsia" w:ascii="黑体" w:hAnsi="宋体" w:eastAsia="黑体" w:cs="黑体"/>
          <w:color w:val="000000"/>
          <w:spacing w:val="0"/>
          <w:kern w:val="0"/>
          <w:sz w:val="27"/>
          <w:szCs w:val="27"/>
          <w:bdr w:val="none" w:color="auto" w:sz="0" w:space="0"/>
          <w:lang w:val="en-US" w:eastAsia="zh-CN" w:bidi="ar"/>
        </w:rPr>
        <w:t>三、缴费政策</w:t>
      </w:r>
      <w:r>
        <w:rPr>
          <w:rFonts w:hint="eastAsia" w:ascii="仿宋" w:hAnsi="仿宋" w:eastAsia="仿宋" w:cs="仿宋"/>
          <w:kern w:val="0"/>
          <w:sz w:val="27"/>
          <w:szCs w:val="27"/>
          <w:bdr w:val="none" w:color="auto" w:sz="0" w:space="0"/>
          <w:lang w:val="en-US" w:eastAsia="zh-CN" w:bidi="ar"/>
        </w:rPr>
        <w:t>（一）缴费档次1.我省城乡居民基本养老保险每人每年的缴费档次为200元、300元、400元、500元、600元、700元、800元、900元、1000元、1500元、2000元、2500元、3000元、4000元和5000元，共15个缴费档次。缴费档次实行个人自行选择，鼓励选择较高档次缴费。2.享受最低缴费标准及政府补贴的特殊群体，具体缴费档次另行通知。（二）补贴标准缴费200元补贴30元，缴费300元补贴40元，缴费400元补贴50元，缴费500元补贴60元，缴费600元补贴80元，缴费700元补贴100元，缴费800元补贴120元，缴费900元补贴140元，缴费1000元补贴160元，缴费1500元补贴190元，缴费2000元补贴220元，缴费2500元补贴250元，缴费3000元补贴280元，缴费4000元补贴310元，缴费5000元补贴340元。参保人员当年没有缴费，之后再进行补缴的，不享受政府给予的缴费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1"/>
          <w:szCs w:val="21"/>
          <w:bdr w:val="none" w:color="auto" w:sz="0" w:space="0"/>
          <w:shd w:val="clear" w:fill="FFFFFF"/>
        </w:rPr>
        <w:t>   </w:t>
      </w:r>
      <w:r>
        <w:rPr>
          <w:rFonts w:hint="eastAsia" w:ascii="黑体" w:hAnsi="宋体" w:eastAsia="黑体" w:cs="黑体"/>
          <w:i w:val="0"/>
          <w:iCs w:val="0"/>
          <w:caps w:val="0"/>
          <w:color w:val="000000"/>
          <w:spacing w:val="0"/>
          <w:sz w:val="27"/>
          <w:szCs w:val="27"/>
          <w:bdr w:val="none" w:color="auto" w:sz="0" w:space="0"/>
          <w:shd w:val="clear" w:fill="FFFFFF"/>
        </w:rPr>
        <w:t>四、缴费方式</w:t>
      </w:r>
    </w:p>
    <w:p>
      <w:pPr>
        <w:keepNext w:val="0"/>
        <w:keepLines w:val="0"/>
        <w:widowControl/>
        <w:suppressLineNumbers w:val="0"/>
        <w:jc w:val="left"/>
      </w:pPr>
      <w:r>
        <w:rPr>
          <w:rFonts w:hint="eastAsia" w:ascii="仿宋_GB2312" w:hAnsi="宋体" w:eastAsia="仿宋_GB2312" w:cs="仿宋_GB2312"/>
          <w:kern w:val="0"/>
          <w:sz w:val="27"/>
          <w:szCs w:val="27"/>
          <w:bdr w:val="none" w:color="auto" w:sz="0" w:space="0"/>
          <w:lang w:val="en-US" w:eastAsia="zh-CN" w:bidi="ar"/>
        </w:rPr>
        <w:t>（一）线上缴费</w:t>
      </w:r>
      <w:r>
        <w:rPr>
          <w:rStyle w:val="5"/>
          <w:rFonts w:hint="eastAsia" w:ascii="仿宋_GB2312" w:hAnsi="宋体" w:eastAsia="仿宋_GB2312" w:cs="仿宋_GB2312"/>
          <w:kern w:val="0"/>
          <w:sz w:val="27"/>
          <w:szCs w:val="27"/>
          <w:bdr w:val="none" w:color="auto" w:sz="0" w:space="0"/>
          <w:lang w:val="en-US" w:eastAsia="zh-CN" w:bidi="ar"/>
        </w:rPr>
        <w:t>1.支付宝。</w:t>
      </w:r>
      <w:r>
        <w:rPr>
          <w:rFonts w:hint="eastAsia" w:ascii="仿宋_GB2312" w:hAnsi="宋体" w:eastAsia="仿宋_GB2312" w:cs="仿宋_GB2312"/>
          <w:kern w:val="0"/>
          <w:sz w:val="27"/>
          <w:szCs w:val="27"/>
          <w:bdr w:val="none" w:color="auto" w:sz="0" w:space="0"/>
          <w:lang w:val="en-US" w:eastAsia="zh-CN" w:bidi="ar"/>
        </w:rPr>
        <w:t>首页搜索“河南税务”小程序→选择“居民养老保险缴费”</w:t>
      </w:r>
      <w:r>
        <w:rPr>
          <w:rFonts w:hint="eastAsia" w:ascii="仿宋" w:hAnsi="仿宋" w:eastAsia="仿宋" w:cs="仿宋"/>
          <w:color w:val="000000"/>
          <w:spacing w:val="0"/>
          <w:kern w:val="0"/>
          <w:sz w:val="27"/>
          <w:szCs w:val="27"/>
          <w:bdr w:val="none" w:color="auto" w:sz="0" w:space="0"/>
          <w:lang w:val="en-US" w:eastAsia="zh-CN" w:bidi="ar"/>
        </w:rPr>
        <w:t>（如扫码可直接进入此页面）</w:t>
      </w:r>
      <w:r>
        <w:rPr>
          <w:rFonts w:hint="eastAsia" w:ascii="仿宋_GB2312" w:hAnsi="宋体" w:eastAsia="仿宋_GB2312" w:cs="仿宋_GB2312"/>
          <w:kern w:val="0"/>
          <w:sz w:val="27"/>
          <w:szCs w:val="27"/>
          <w:bdr w:val="none" w:color="auto" w:sz="0" w:space="0"/>
          <w:lang w:val="en-US" w:eastAsia="zh-CN" w:bidi="ar"/>
        </w:rPr>
        <w:t>→输入姓名及身份证号</w:t>
      </w:r>
      <w:r>
        <w:rPr>
          <w:rFonts w:hint="eastAsia" w:ascii="仿宋" w:hAnsi="仿宋" w:eastAsia="仿宋" w:cs="仿宋"/>
          <w:color w:val="000000"/>
          <w:spacing w:val="0"/>
          <w:kern w:val="0"/>
          <w:sz w:val="27"/>
          <w:szCs w:val="27"/>
          <w:bdr w:val="none" w:color="auto" w:sz="0" w:space="0"/>
          <w:lang w:val="en-US" w:eastAsia="zh-CN" w:bidi="ar"/>
        </w:rPr>
        <w:t>（如代缴请点亮代缴按钮）</w:t>
      </w:r>
      <w:r>
        <w:rPr>
          <w:rFonts w:hint="eastAsia" w:ascii="仿宋_GB2312" w:hAnsi="宋体" w:eastAsia="仿宋_GB2312" w:cs="仿宋_GB2312"/>
          <w:kern w:val="0"/>
          <w:sz w:val="27"/>
          <w:szCs w:val="27"/>
          <w:bdr w:val="none" w:color="auto" w:sz="0" w:space="0"/>
          <w:lang w:val="en-US" w:eastAsia="zh-CN" w:bidi="ar"/>
        </w:rPr>
        <w:t>→核实缴费地、选择缴费金额缴费。</w:t>
      </w:r>
      <w:r>
        <w:rPr>
          <w:rStyle w:val="5"/>
          <w:rFonts w:hint="eastAsia" w:ascii="仿宋_GB2312" w:hAnsi="宋体" w:eastAsia="仿宋_GB2312" w:cs="仿宋_GB2312"/>
          <w:kern w:val="0"/>
          <w:sz w:val="27"/>
          <w:szCs w:val="27"/>
          <w:bdr w:val="none" w:color="auto" w:sz="0" w:space="0"/>
          <w:lang w:val="en-US" w:eastAsia="zh-CN" w:bidi="ar"/>
        </w:rPr>
        <w:t>2.</w:t>
      </w:r>
      <w:r>
        <w:rPr>
          <w:rStyle w:val="5"/>
          <w:rFonts w:hint="eastAsia" w:ascii="仿宋" w:hAnsi="仿宋" w:eastAsia="仿宋" w:cs="仿宋"/>
          <w:color w:val="000000"/>
          <w:spacing w:val="0"/>
          <w:kern w:val="0"/>
          <w:sz w:val="27"/>
          <w:szCs w:val="27"/>
          <w:bdr w:val="none" w:color="auto" w:sz="0" w:space="0"/>
          <w:lang w:val="en-US" w:eastAsia="zh-CN" w:bidi="ar"/>
        </w:rPr>
        <w:t>微信。</w:t>
      </w:r>
      <w:r>
        <w:rPr>
          <w:rFonts w:hint="eastAsia" w:ascii="仿宋" w:hAnsi="仿宋" w:eastAsia="仿宋" w:cs="仿宋"/>
          <w:color w:val="000000"/>
          <w:spacing w:val="0"/>
          <w:kern w:val="0"/>
          <w:sz w:val="27"/>
          <w:szCs w:val="27"/>
          <w:bdr w:val="none" w:color="auto" w:sz="0" w:space="0"/>
          <w:lang w:val="en-US" w:eastAsia="zh-CN" w:bidi="ar"/>
        </w:rPr>
        <w:t>搜索“河南税务”小程序授权登录→选择居民养老保险缴费（如扫码可直接进入此页面）→输入个人相关信息（如代缴请点亮代缴按钮）→</w:t>
      </w:r>
      <w:r>
        <w:rPr>
          <w:rFonts w:hint="eastAsia" w:ascii="仿宋_GB2312" w:hAnsi="宋体" w:eastAsia="仿宋_GB2312" w:cs="仿宋_GB2312"/>
          <w:kern w:val="0"/>
          <w:sz w:val="27"/>
          <w:szCs w:val="27"/>
          <w:bdr w:val="none" w:color="auto" w:sz="0" w:space="0"/>
          <w:lang w:val="en-US" w:eastAsia="zh-CN" w:bidi="ar"/>
        </w:rPr>
        <w:t>核实缴费地、选择缴费金额缴费。</w:t>
      </w:r>
      <w:r>
        <w:rPr>
          <w:rStyle w:val="5"/>
          <w:rFonts w:hint="eastAsia" w:ascii="仿宋_GB2312" w:hAnsi="宋体" w:eastAsia="仿宋_GB2312" w:cs="仿宋_GB2312"/>
          <w:kern w:val="0"/>
          <w:sz w:val="27"/>
          <w:szCs w:val="27"/>
          <w:bdr w:val="none" w:color="auto" w:sz="0" w:space="0"/>
          <w:lang w:val="en-US" w:eastAsia="zh-CN" w:bidi="ar"/>
        </w:rPr>
        <w:t>3.“河南税务”APP。</w:t>
      </w:r>
      <w:r>
        <w:rPr>
          <w:rFonts w:hint="eastAsia" w:ascii="仿宋_GB2312" w:hAnsi="宋体" w:eastAsia="仿宋_GB2312" w:cs="仿宋_GB2312"/>
          <w:kern w:val="0"/>
          <w:sz w:val="27"/>
          <w:szCs w:val="27"/>
          <w:bdr w:val="none" w:color="auto" w:sz="0" w:space="0"/>
          <w:lang w:val="en-US" w:eastAsia="zh-CN" w:bidi="ar"/>
        </w:rPr>
        <w:t>从手机应用商店下载“河南税务”APP并注册登录→点击“办税”菜单→</w:t>
      </w:r>
      <w:r>
        <w:rPr>
          <w:rFonts w:hint="eastAsia" w:ascii="仿宋" w:hAnsi="仿宋" w:eastAsia="仿宋" w:cs="仿宋"/>
          <w:color w:val="000000"/>
          <w:spacing w:val="0"/>
          <w:kern w:val="0"/>
          <w:sz w:val="27"/>
          <w:szCs w:val="27"/>
          <w:bdr w:val="none" w:color="auto" w:sz="0" w:space="0"/>
          <w:lang w:val="en-US" w:eastAsia="zh-CN" w:bidi="ar"/>
        </w:rPr>
        <w:t>点击热点功能中的城乡居民养老保险缴纳→输入个人相关信息（如代缴请点亮代缴按钮）→核实缴费地、</w:t>
      </w:r>
      <w:r>
        <w:rPr>
          <w:rFonts w:hint="eastAsia" w:ascii="仿宋_GB2312" w:hAnsi="宋体" w:eastAsia="仿宋_GB2312" w:cs="仿宋_GB2312"/>
          <w:kern w:val="0"/>
          <w:sz w:val="27"/>
          <w:szCs w:val="27"/>
          <w:bdr w:val="none" w:color="auto" w:sz="0" w:space="0"/>
          <w:lang w:val="en-US" w:eastAsia="zh-CN" w:bidi="ar"/>
        </w:rPr>
        <w:t>选择缴费金额缴费。</w:t>
      </w:r>
      <w:r>
        <w:rPr>
          <w:rStyle w:val="5"/>
          <w:rFonts w:hint="eastAsia" w:ascii="仿宋_GB2312" w:hAnsi="宋体" w:eastAsia="仿宋_GB2312" w:cs="仿宋_GB2312"/>
          <w:kern w:val="0"/>
          <w:sz w:val="27"/>
          <w:szCs w:val="27"/>
          <w:bdr w:val="none" w:color="auto" w:sz="0" w:space="0"/>
          <w:lang w:val="en-US" w:eastAsia="zh-CN" w:bidi="ar"/>
        </w:rPr>
        <w:t>4.</w:t>
      </w:r>
      <w:r>
        <w:rPr>
          <w:rStyle w:val="5"/>
          <w:rFonts w:hint="eastAsia" w:ascii="仿宋" w:hAnsi="仿宋" w:eastAsia="仿宋" w:cs="仿宋"/>
          <w:kern w:val="0"/>
          <w:sz w:val="27"/>
          <w:szCs w:val="27"/>
          <w:bdr w:val="none" w:color="auto" w:sz="0" w:space="0"/>
          <w:lang w:val="en-US" w:eastAsia="zh-CN" w:bidi="ar"/>
        </w:rPr>
        <w:t>打开支付宝或微信“扫一扫”，扫码缴费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1"/>
          <w:szCs w:val="21"/>
          <w:bdr w:val="none" w:color="auto" w:sz="0" w:space="0"/>
          <w:shd w:val="clear" w:fill="FFFFFF"/>
        </w:rPr>
        <w:t>        </w:t>
      </w:r>
      <w:r>
        <w:rPr>
          <w:rFonts w:hint="eastAsia" w:ascii="微软雅黑" w:hAnsi="微软雅黑" w:eastAsia="微软雅黑" w:cs="微软雅黑"/>
          <w:i w:val="0"/>
          <w:iCs w:val="0"/>
          <w:caps w:val="0"/>
          <w:spacing w:val="8"/>
          <w:sz w:val="21"/>
          <w:szCs w:val="21"/>
          <w:bdr w:val="none" w:color="auto" w:sz="0" w:space="0"/>
          <w:shd w:val="clear" w:fill="FFFFFF"/>
        </w:rPr>
        <w:drawing>
          <wp:inline distT="0" distB="0" distL="114300" distR="114300">
            <wp:extent cx="1876425" cy="26193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876425" cy="261937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sz w:val="21"/>
          <w:szCs w:val="21"/>
          <w:bdr w:val="none" w:color="auto" w:sz="0" w:space="0"/>
          <w:shd w:val="clear" w:fill="FFFFFF"/>
        </w:rPr>
        <w:t>   </w:t>
      </w:r>
      <w:r>
        <w:rPr>
          <w:rFonts w:hint="eastAsia" w:ascii="微软雅黑" w:hAnsi="微软雅黑" w:eastAsia="微软雅黑" w:cs="微软雅黑"/>
          <w:i w:val="0"/>
          <w:iCs w:val="0"/>
          <w:caps w:val="0"/>
          <w:spacing w:val="8"/>
          <w:sz w:val="21"/>
          <w:szCs w:val="21"/>
          <w:bdr w:val="none" w:color="auto" w:sz="0" w:space="0"/>
          <w:shd w:val="clear" w:fill="FFFFFF"/>
        </w:rPr>
        <w:drawing>
          <wp:inline distT="0" distB="0" distL="114300" distR="114300">
            <wp:extent cx="1924050" cy="26289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924050" cy="2628900"/>
                    </a:xfrm>
                    <a:prstGeom prst="rect">
                      <a:avLst/>
                    </a:prstGeom>
                    <a:noFill/>
                    <a:ln w="9525">
                      <a:noFill/>
                    </a:ln>
                  </pic:spPr>
                </pic:pic>
              </a:graphicData>
            </a:graphic>
          </wp:inline>
        </w:drawing>
      </w:r>
    </w:p>
    <w:p>
      <w:pPr>
        <w:keepNext w:val="0"/>
        <w:keepLines w:val="0"/>
        <w:widowControl/>
        <w:numPr>
          <w:ilvl w:val="0"/>
          <w:numId w:val="1"/>
        </w:numPr>
        <w:suppressLineNumbers w:val="0"/>
        <w:jc w:val="left"/>
        <w:rPr>
          <w:rFonts w:hint="eastAsia" w:ascii="仿宋_GB2312" w:hAnsi="宋体" w:eastAsia="仿宋_GB2312" w:cs="仿宋_GB2312"/>
          <w:kern w:val="0"/>
          <w:sz w:val="27"/>
          <w:szCs w:val="27"/>
          <w:bdr w:val="none" w:color="auto" w:sz="0" w:space="0"/>
          <w:lang w:val="en-US" w:eastAsia="zh-CN" w:bidi="ar"/>
        </w:rPr>
      </w:pPr>
      <w:r>
        <w:rPr>
          <w:rFonts w:hint="eastAsia" w:ascii="仿宋_GB2312" w:hAnsi="宋体" w:eastAsia="仿宋_GB2312" w:cs="仿宋_GB2312"/>
          <w:kern w:val="0"/>
          <w:sz w:val="27"/>
          <w:szCs w:val="27"/>
          <w:bdr w:val="none" w:color="auto" w:sz="0" w:space="0"/>
          <w:lang w:val="en-US" w:eastAsia="zh-CN" w:bidi="ar"/>
        </w:rPr>
        <w:t>线下缴费</w:t>
      </w:r>
      <w:r>
        <w:rPr>
          <w:rStyle w:val="5"/>
          <w:rFonts w:hint="eastAsia" w:ascii="仿宋_GB2312" w:hAnsi="宋体" w:eastAsia="仿宋_GB2312" w:cs="仿宋_GB2312"/>
          <w:kern w:val="0"/>
          <w:sz w:val="27"/>
          <w:szCs w:val="27"/>
          <w:bdr w:val="none" w:color="auto" w:sz="0" w:space="0"/>
          <w:lang w:val="en-US" w:eastAsia="zh-CN" w:bidi="ar"/>
        </w:rPr>
        <w:t>1.自助缴费机缴费：</w:t>
      </w:r>
      <w:r>
        <w:rPr>
          <w:rFonts w:hint="eastAsia" w:ascii="仿宋_GB2312" w:hAnsi="宋体" w:eastAsia="仿宋_GB2312" w:cs="仿宋_GB2312"/>
          <w:kern w:val="0"/>
          <w:sz w:val="27"/>
          <w:szCs w:val="27"/>
          <w:bdr w:val="none" w:color="auto" w:sz="0" w:space="0"/>
          <w:lang w:val="en-US" w:eastAsia="zh-CN" w:bidi="ar"/>
        </w:rPr>
        <w:t>已参保城乡居民持身份证或户口本直接到各行政村襄城农商银行、中原银行金融自助服务点缴费。</w:t>
      </w:r>
      <w:r>
        <w:rPr>
          <w:rStyle w:val="5"/>
          <w:rFonts w:hint="eastAsia" w:ascii="仿宋_GB2312" w:hAnsi="宋体" w:eastAsia="仿宋_GB2312" w:cs="仿宋_GB2312"/>
          <w:kern w:val="0"/>
          <w:sz w:val="27"/>
          <w:szCs w:val="27"/>
          <w:bdr w:val="none" w:color="auto" w:sz="0" w:space="0"/>
          <w:lang w:val="en-US" w:eastAsia="zh-CN" w:bidi="ar"/>
        </w:rPr>
        <w:t>2.银行网点缴费：</w:t>
      </w:r>
      <w:r>
        <w:rPr>
          <w:rFonts w:hint="eastAsia" w:ascii="仿宋_GB2312" w:hAnsi="宋体" w:eastAsia="仿宋_GB2312" w:cs="仿宋_GB2312"/>
          <w:kern w:val="0"/>
          <w:sz w:val="27"/>
          <w:szCs w:val="27"/>
          <w:bdr w:val="none" w:color="auto" w:sz="0" w:space="0"/>
          <w:lang w:val="en-US" w:eastAsia="zh-CN" w:bidi="ar"/>
        </w:rPr>
        <w:t>已参保城乡居民持身份证或户口本直接到襄城农商银行、中原银行各营业网点缴费。</w:t>
      </w:r>
    </w:p>
    <w:p>
      <w:pPr>
        <w:keepNext w:val="0"/>
        <w:keepLines w:val="0"/>
        <w:widowControl/>
        <w:numPr>
          <w:numId w:val="0"/>
        </w:numPr>
        <w:suppressLineNumbers w:val="0"/>
        <w:ind w:firstLine="540" w:firstLineChars="200"/>
        <w:jc w:val="left"/>
      </w:pPr>
      <w:r>
        <w:rPr>
          <w:rFonts w:hint="eastAsia" w:ascii="黑体" w:hAnsi="宋体" w:eastAsia="黑体" w:cs="黑体"/>
          <w:color w:val="000000"/>
          <w:kern w:val="0"/>
          <w:sz w:val="27"/>
          <w:szCs w:val="27"/>
          <w:bdr w:val="none" w:color="auto" w:sz="0" w:space="0"/>
          <w:lang w:val="en-US" w:eastAsia="zh-CN" w:bidi="ar"/>
        </w:rPr>
        <w:t>特别提醒：凡新参保城乡居民应先到户籍所在地乡镇社保所办理参保登记，再通过以上方式缴费。凡补缴以往年度养老保险的城乡居民先到户籍所在地乡镇社保所填写“补缴申请表”并领取“补缴单”。</w:t>
      </w:r>
    </w:p>
    <w:p>
      <w:pPr>
        <w:keepNext w:val="0"/>
        <w:keepLines w:val="0"/>
        <w:widowControl/>
        <w:numPr>
          <w:numId w:val="0"/>
        </w:numPr>
        <w:suppressLineNumbers w:val="0"/>
        <w:ind w:firstLine="540" w:firstLineChars="200"/>
        <w:jc w:val="left"/>
        <w:rPr>
          <w:rFonts w:hint="eastAsia" w:ascii="微软雅黑" w:hAnsi="微软雅黑" w:eastAsia="微软雅黑" w:cs="微软雅黑"/>
          <w:i w:val="0"/>
          <w:iCs w:val="0"/>
          <w:caps w:val="0"/>
          <w:vanish/>
          <w:spacing w:val="8"/>
          <w:sz w:val="21"/>
          <w:szCs w:val="21"/>
        </w:rPr>
      </w:pPr>
      <w:r>
        <w:rPr>
          <w:rFonts w:hint="eastAsia" w:ascii="黑体" w:hAnsi="宋体" w:eastAsia="黑体" w:cs="黑体"/>
          <w:kern w:val="0"/>
          <w:sz w:val="27"/>
          <w:szCs w:val="27"/>
          <w:bdr w:val="none" w:color="auto" w:sz="0" w:space="0"/>
          <w:lang w:val="en-US" w:eastAsia="zh-CN" w:bidi="ar"/>
        </w:rPr>
        <w:t>补缴路径为：线上缴费方式按以上流程登录后，在“选择缴费类型”模块选择“使用社保唯一流水号”进行补缴，</w:t>
      </w:r>
      <w:r>
        <w:rPr>
          <w:rFonts w:hint="eastAsia" w:ascii="黑体" w:hAnsi="宋体" w:eastAsia="黑体" w:cs="黑体"/>
          <w:color w:val="000000"/>
          <w:kern w:val="0"/>
          <w:sz w:val="27"/>
          <w:szCs w:val="27"/>
          <w:bdr w:val="none" w:color="auto" w:sz="0" w:space="0"/>
          <w:lang w:val="en-US" w:eastAsia="zh-CN" w:bidi="ar"/>
        </w:rPr>
        <w:t>或持补缴单到县税务局办税大厅或各农商行、中原银行支行营业网点补缴。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BB651"/>
    <w:multiLevelType w:val="singleLevel"/>
    <w:tmpl w:val="072BB6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mQ0MDUzOWUzMGJlZmNhYTZjOGU1MWUxNjQ0YmYifQ=="/>
  </w:docVars>
  <w:rsids>
    <w:rsidRoot w:val="60980A0D"/>
    <w:rsid w:val="6098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2023-08-03T00:19:00Z</dcterms:created>
  <dc:creator>北大软件</dc:creator>
  <cp:lastModifiedBy>北大软件</cp:lastModifiedBy>
  <dcterms:modified xsi:type="dcterms:W3CDTF">2023-08-03T00:20:58Z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582E899CE8FF4F1CAFAF510232B84141_11</vt:lpwstr>
  </property>
</Properties>
</file>