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Start w:id="0" w:name="_Toc24724723"/>
      <w:r>
        <w:rPr>
          <w:rFonts w:hint="eastAsia" w:ascii="方正小标宋_GBK" w:hAnsi="方正小标宋_GBK" w:eastAsia="方正小标宋_GBK"/>
          <w:b w:val="0"/>
          <w:bCs w:val="0"/>
          <w:sz w:val="30"/>
          <w:lang w:val="en-US" w:eastAsia="zh-CN"/>
        </w:rPr>
        <w:t>襄城县</w:t>
      </w:r>
      <w:r>
        <w:rPr>
          <w:rFonts w:hint="eastAsia" w:ascii="方正小标宋_GBK" w:hAnsi="方正小标宋_GBK" w:eastAsia="方正小标宋_GBK"/>
          <w:b w:val="0"/>
          <w:bCs w:val="0"/>
          <w:sz w:val="30"/>
        </w:rPr>
        <w:t>公共文化服务领域基层政务公开标准目录</w:t>
      </w:r>
      <w:bookmarkEnd w:id="0"/>
    </w:p>
    <w:bookmarkEnd w:id="1"/>
    <w:tbl>
      <w:tblPr>
        <w:tblStyle w:val="4"/>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15"/>
        <w:gridCol w:w="750"/>
        <w:gridCol w:w="795"/>
        <w:gridCol w:w="5415"/>
        <w:gridCol w:w="1110"/>
        <w:gridCol w:w="1155"/>
        <w:gridCol w:w="1110"/>
        <w:gridCol w:w="61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365"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79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541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5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1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1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vMerge w:val="continue"/>
            <w:shd w:val="clear" w:color="auto" w:fill="auto"/>
            <w:noWrap w:val="0"/>
            <w:vAlign w:val="center"/>
          </w:tcPr>
          <w:p>
            <w:pPr>
              <w:widowControl/>
              <w:jc w:val="left"/>
              <w:rPr>
                <w:rFonts w:ascii="Times New Roman" w:hAnsi="Times New Roman"/>
                <w:color w:val="000000"/>
                <w:kern w:val="0"/>
                <w:sz w:val="22"/>
              </w:rPr>
            </w:pPr>
          </w:p>
        </w:tc>
        <w:tc>
          <w:tcPr>
            <w:tcW w:w="61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5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795"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5415"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11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155"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110" w:type="dxa"/>
            <w:vMerge w:val="continue"/>
            <w:shd w:val="clear" w:color="auto" w:fill="auto"/>
            <w:noWrap w:val="0"/>
            <w:vAlign w:val="center"/>
          </w:tcPr>
          <w:p>
            <w:pPr>
              <w:widowControl/>
              <w:jc w:val="left"/>
              <w:rPr>
                <w:rFonts w:ascii="黑体" w:hAnsi="宋体" w:eastAsia="黑体" w:cs="宋体"/>
                <w:kern w:val="0"/>
                <w:sz w:val="22"/>
              </w:rPr>
            </w:pPr>
          </w:p>
        </w:tc>
        <w:tc>
          <w:tcPr>
            <w:tcW w:w="61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615"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6" w:hRule="atLeast"/>
          <w:jc w:val="center"/>
        </w:trPr>
        <w:tc>
          <w:tcPr>
            <w:tcW w:w="447"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615"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615"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615"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615"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615"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9</w:t>
            </w:r>
          </w:p>
        </w:tc>
        <w:tc>
          <w:tcPr>
            <w:tcW w:w="615"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1</w:t>
            </w:r>
            <w:r>
              <w:rPr>
                <w:rFonts w:hint="eastAsia" w:ascii="仿宋_GB2312" w:hAnsi="Times New Roman" w:eastAsia="仿宋_GB2312"/>
                <w:sz w:val="18"/>
                <w:szCs w:val="18"/>
              </w:rPr>
              <w:t>0</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val="en-US" w:eastAsia="zh-CN"/>
              </w:rPr>
              <w:t>1</w:t>
            </w:r>
            <w:r>
              <w:rPr>
                <w:rFonts w:hint="eastAsia" w:ascii="仿宋_GB2312" w:hAnsi="Times New Roman" w:eastAsia="仿宋_GB2312"/>
                <w:sz w:val="18"/>
                <w:szCs w:val="18"/>
              </w:rPr>
              <w:t>2</w:t>
            </w:r>
          </w:p>
        </w:tc>
        <w:tc>
          <w:tcPr>
            <w:tcW w:w="615"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13</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615" w:type="dxa"/>
            <w:vMerge w:val="restart"/>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615" w:type="dxa"/>
            <w:vMerge w:val="restart"/>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0</w:t>
            </w:r>
          </w:p>
        </w:tc>
        <w:tc>
          <w:tcPr>
            <w:tcW w:w="615" w:type="dxa"/>
            <w:vMerge w:val="restart"/>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21</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22</w:t>
            </w:r>
          </w:p>
        </w:tc>
        <w:tc>
          <w:tcPr>
            <w:tcW w:w="615" w:type="dxa"/>
            <w:vMerge w:val="restart"/>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23</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24</w:t>
            </w:r>
          </w:p>
        </w:tc>
        <w:tc>
          <w:tcPr>
            <w:tcW w:w="615" w:type="dxa"/>
            <w:vMerge w:val="continue"/>
            <w:shd w:val="clear" w:color="auto" w:fill="auto"/>
            <w:noWrap w:val="0"/>
            <w:vAlign w:val="center"/>
          </w:tcPr>
          <w:p>
            <w:pPr>
              <w:spacing w:line="240" w:lineRule="exact"/>
              <w:rPr>
                <w:rFonts w:hint="eastAsia" w:ascii="仿宋_GB2312" w:hAnsi="Times New Roman" w:eastAsia="仿宋_GB2312"/>
                <w:sz w:val="18"/>
                <w:szCs w:val="18"/>
              </w:rPr>
            </w:pP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25</w:t>
            </w:r>
          </w:p>
        </w:tc>
        <w:tc>
          <w:tcPr>
            <w:tcW w:w="615"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26</w:t>
            </w:r>
          </w:p>
        </w:tc>
        <w:tc>
          <w:tcPr>
            <w:tcW w:w="615"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27</w:t>
            </w:r>
          </w:p>
        </w:tc>
        <w:tc>
          <w:tcPr>
            <w:tcW w:w="615" w:type="dxa"/>
            <w:vMerge w:val="restart"/>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28</w:t>
            </w:r>
          </w:p>
        </w:tc>
        <w:tc>
          <w:tcPr>
            <w:tcW w:w="615" w:type="dxa"/>
            <w:vMerge w:val="continue"/>
            <w:shd w:val="clear" w:color="auto" w:fill="auto"/>
            <w:noWrap w:val="0"/>
            <w:vAlign w:val="center"/>
          </w:tcPr>
          <w:p>
            <w:pPr>
              <w:spacing w:line="240" w:lineRule="exact"/>
              <w:rPr>
                <w:rFonts w:ascii="仿宋_GB2312" w:hAnsi="Times New Roman" w:eastAsia="仿宋_GB2312"/>
                <w:sz w:val="18"/>
                <w:szCs w:val="18"/>
              </w:rPr>
            </w:pP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110" w:type="dxa"/>
            <w:shd w:val="clear" w:color="auto" w:fill="auto"/>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6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75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检查、查封或者扣押涉嫌违法从事出版活动的有关物品和经营场所</w:t>
            </w:r>
          </w:p>
        </w:tc>
        <w:tc>
          <w:tcPr>
            <w:tcW w:w="79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出版管理条例》（中华人民共和国国务院令）第594号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30</w:t>
            </w:r>
          </w:p>
        </w:tc>
        <w:tc>
          <w:tcPr>
            <w:tcW w:w="615" w:type="dxa"/>
            <w:shd w:val="clear" w:color="auto" w:fill="auto"/>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对辖区内的内部资料性出版物、 出版活动、音像制品进行监督检查</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内部资料性出版物管理办法》第十九条第二款：内部资料实行审读制度和质量检查制度，行政管理部门要配备必要的人员和经费对内部资料进行内容审读和质量监督。《出版管理条例》第五十一条：出版行政主管部门根据有关规定和标准，对出版物的内容、编校、印刷或者复制、装帧设计等方面质量实施监督检查。《音像制品批发、零售、出租管理办法》第二十二条第二款：音像出版、批发单位音像制品应当按照国家有关规定提供发货凭证；发货单位或者进货单位应当自发货之日起2年内保存发货、进货凭证及相关票据材料，以备查验。</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31</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对辖区内歌舞娱乐场所进行检查</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《娱乐场所管理条例》（中华人民共和国国务院令）第458号第十八条：娱乐场所使用的音像制品或者电子游戏应当是依法出版、生产或者进口的产品。   歌舞娱乐场所播放的曲目和屏幕画面以及游艺娱乐场所的电子游戏机内的游戏项目，不得含有本条例第十三条禁止的内容；歌舞娱乐场所使用的歌曲点播系统不得与境外的曲库连接。</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0"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32</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对辖区内印刷企业含有反动、淫秽、迷信内容和国家明令禁止印刷的其他内容的出版物、包装装潢印刷品进行检查</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印刷业管理条例》（中华人民共和国国务院令）第315号第三十五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　(二)因合并、分立而设立新的印刷业经营者，未依照本条例的规定办理手续的；(三)出售、出租、出借或者以其他形式转让印刷经营许可证的。第三十六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第三十七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5"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对辖区内的文物保护单位的进行监督检查</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五十条：文物收藏单位以外的公民、法人和其他组织可以收藏通过下列方式取得的文物：（一）依法继承或者接受赠与；（二）从文物商店购买；（三）从经营文物拍卖的拍卖企业购买；（四）公民个人合法所有的文物相互交换或者依法转让；（五）国家规定的其他合法方式。第五十一条：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河南省实施《中华人民共和国文物保护法》办法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0"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对辖区内的网吧市场、互联网文化进行监督管理</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部关于贯彻&lt;互联网上网服务营业场所管理条例&gt;的通知》（文市发[2002]46号）第五条：要会同公安部门加强对“网吧”等互联网上网服务营业场所的日常管理。各级文化行政部门要加大工作力度，实行日常检查、突击检查与技术监控相结合，坚决防止重审批轻管理的倾向。《文化市场行政执法管理办法》（中华人民共和国文化部第36号）第二条：本办法所称文化市场行政执法是指各级人民政府文化行政部门或者经法律法规授权的其他执法机构（以下简称执法机构），依照国家有关法律、法规和规章的规定，对公民、法人或者其他有关的文化经营活动进行监督检查，并对违法行为进行处理的具体行政行为。第三条：本办法所称文化市场行政执法的范围是：互联网上网服务营业场所和互联网文化经营活动。</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8"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对辖区内的广播电视、卫星广播电视地面接收设施进行管理保护</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0"/>
                <w:szCs w:val="10"/>
              </w:rPr>
            </w:pPr>
            <w:r>
              <w:rPr>
                <w:rFonts w:hint="eastAsia" w:ascii="仿宋_GB2312" w:hAnsi="Times New Roman" w:eastAsia="仿宋_GB2312"/>
                <w:sz w:val="13"/>
                <w:szCs w:val="13"/>
              </w:rPr>
              <w:t>《广播电视管理条例》（中华人民共和国国务院令）第228号第二十一条：广播电视发射台、转播台不得擅自播放自办节目和插播广告。第二十四条：未经批准，任何单位和个人不得擅自利用有线广播电视传输覆盖网播放节目。第二十七条：禁止任何单位和个人侵占、哄抢或者以其他方式破坏广播电视传输覆盖网的设施。第二十八条：任何单位和个人不得侵占、干扰广播电视专用频率，不得擅自截传、干扰、解扰广播电视信号。第三十七条：地方广播电台、电视台或者广播电视站，应当按照国务院广播电视行政部门的有关规定转播广播电视节目。 乡、镇设立的广播电视站不得自办电视节目。《广播电视设施保护条例》（中华人民共和国国务院令）第295号第六条：禁止危及广播电视信号发射设施的安全和损害其使用效能的下列行为：(一)拆除或者损坏天线、馈线、地网以及天线场地的围墙、围网及其附属设备、标志物；(二)在中波天线周围250米范围内建筑施工，或者以天线外250米为计算起点兴建高度超过仰角3度的高大建筑；(三)在短波天线前方500米范围内种植成林树木、堆放金属物品、穿越架空电力线路、建筑施工，或者以天线外500米为计算起点兴建高度超过仰角3度的高大建筑；(四)在功率300千瓦以上的定向天线前方1000米范围内建筑施工，或者以天线外1000米为计算起点兴建高度超过仰角3度的高大建筑；(五)在馈线两侧各3米范围内建筑施工，或者在馈线两侧各5米范围内种植树木、种植高杆作物；(六)在天线、塔桅(杆)周围5米或者可能危及拉锚安全的范围内挖沙、取土、钻探、打桩、倾倒腐蚀性物品。第七条：禁止危及广播电视信号专用传输设施的安全和损害其使用效能的下列行为：(一)在标志埋设地下传输线路两侧各5米和水下传输线路两侧各50米范围内进行铺设易燃易爆液(气)体主管道、抛锚、拖锚、挖沙等施工作业；(二)移动、损坏传输线路、终端杆、塔桅(杆)及其附属设备、标志物；(三)在标志埋设地下传输线路的地面周围1米范围内种植根茎可能缠绕传输线路的植物、倾倒腐蚀性物品；(四)树木的顶端与架空传输线路的间距小于2米；(五)在传输线路塔桅(杆)、拉线周围1米范围内挖沙、取土，或者在其周围5米范围内倾倒腐蚀性物品、堆放易燃易爆物品；(六)在传输线路塔桅(杆)、拉线上拴系牲畜、悬挂物品、攀附农作物。第八条：禁止危及广播电视信号监测设施的安全和损害其使用效能的下列行为： (一)移动、损坏监测接收天线、塔桅(杆)及其附属设备、标志物；(二)在监测台、站周围违反国家标准架设架空电力线路，兴建电气化铁路、公路等产生电磁辐射的设施或者设置金属构件；(三)在监测台、站测向场强室周围150米范围内种植树木、高杆作物、进行对土地平坦有影响的挖掘、施工；(四)在监测天线周围1000米范围内建筑施工，或者以天线外1000米为计算起点修建高度超过仰角3度的建筑物、构筑物或者堆放超高的物品。第九条：禁止危及广播电视设施安全和损害其使用效能的下列行为：(一)在广播电视设施周围500米范围内进行爆破作业；(二)在天线、馈线、传输线路及其塔桅(杆)、拉线周围500米范围内进行烧荒；(三)在卫星天线前方50米范围内建筑施工，或者以天线前方50米为计算起点修建高度超过仰角5度的建筑物、构筑物或者堆放超高的物品；(四)在发射、监测台、站周围1500米范围内兴建有严重粉尘污染、严重腐蚀性化学气体溢出或者产生放射性物质的设施；(五)在发射、监测台、站周围500米范围内兴建油库、加油站、液化气站、煤气站等易燃易爆设施。《卫星电视广播地面接收设施管理规定》（中华人民共和国国务院令）第129号第八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第九条：个人不得安装和使用卫星地面接收设施。  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0" w:hRule="atLeast"/>
          <w:jc w:val="center"/>
        </w:trPr>
        <w:tc>
          <w:tcPr>
            <w:tcW w:w="447" w:type="dxa"/>
            <w:shd w:val="clear" w:color="auto" w:fill="auto"/>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6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行政检查</w:t>
            </w:r>
          </w:p>
        </w:tc>
        <w:tc>
          <w:tcPr>
            <w:tcW w:w="75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对辖区内的营业性演出进行现场监督检查</w:t>
            </w:r>
          </w:p>
        </w:tc>
        <w:tc>
          <w:tcPr>
            <w:tcW w:w="79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541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3"/>
                <w:szCs w:val="13"/>
              </w:rPr>
              <w:t>《营业性演出管理条例》（中华人民共和国国务院令）第528号第十四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第二十六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第十七条　申请举办营业性演出，提交的申请材料应当包括</w:t>
            </w:r>
            <w:r>
              <w:rPr>
                <w:rFonts w:hint="eastAsia" w:ascii="仿宋_GB2312" w:hAnsi="Times New Roman" w:eastAsia="仿宋_GB2312"/>
                <w:sz w:val="11"/>
                <w:szCs w:val="11"/>
              </w:rPr>
              <w:t>下</w:t>
            </w:r>
            <w:r>
              <w:rPr>
                <w:rFonts w:hint="eastAsia" w:ascii="仿宋_GB2312" w:hAnsi="Times New Roman" w:eastAsia="仿宋_GB2312"/>
                <w:sz w:val="13"/>
                <w:szCs w:val="13"/>
              </w:rPr>
              <w:t>列内容：（一）演出</w:t>
            </w:r>
            <w:r>
              <w:rPr>
                <w:rFonts w:hint="eastAsia" w:ascii="仿宋_GB2312" w:hAnsi="Times New Roman" w:eastAsia="仿宋_GB2312"/>
                <w:sz w:val="15"/>
                <w:szCs w:val="15"/>
              </w:rPr>
              <w:t>名称、演出举办单位和参加演出的文艺表演团体、演员；（二）演出时间、地点、场次；（三）节目及其视听资料。</w:t>
            </w:r>
            <w:r>
              <w:rPr>
                <w:rFonts w:hint="eastAsia" w:ascii="仿宋_GB2312" w:hAnsi="Times New Roman" w:eastAsia="仿宋_GB2312"/>
                <w:sz w:val="16"/>
                <w:szCs w:val="16"/>
              </w:rPr>
              <w:t>应当包</w:t>
            </w:r>
            <w:r>
              <w:rPr>
                <w:rFonts w:hint="eastAsia" w:ascii="仿宋_GB2312" w:hAnsi="Times New Roman" w:eastAsia="仿宋_GB2312"/>
                <w:sz w:val="15"/>
                <w:szCs w:val="15"/>
              </w:rPr>
              <w:t>括下列内</w:t>
            </w:r>
            <w:r>
              <w:rPr>
                <w:rFonts w:hint="eastAsia" w:ascii="仿宋_GB2312" w:hAnsi="Times New Roman" w:eastAsia="仿宋_GB2312"/>
                <w:sz w:val="16"/>
                <w:szCs w:val="16"/>
              </w:rPr>
              <w:t>容：（一）演出名称、演出举办单位和参加演出的文艺表演团体、演员；（二）演出时间、地点、场次；（三）节目及其视听资料。</w:t>
            </w:r>
          </w:p>
        </w:tc>
        <w:tc>
          <w:tcPr>
            <w:tcW w:w="1110"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155" w:type="dxa"/>
            <w:shd w:val="clear" w:color="auto" w:fill="auto"/>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color w:val="auto"/>
                <w:sz w:val="18"/>
                <w:szCs w:val="18"/>
              </w:rPr>
              <w:t>文化</w:t>
            </w:r>
            <w:r>
              <w:rPr>
                <w:rFonts w:hint="eastAsia" w:ascii="仿宋_GB2312" w:hAnsi="Times New Roman" w:eastAsia="仿宋_GB2312"/>
                <w:color w:val="auto"/>
                <w:sz w:val="18"/>
                <w:szCs w:val="18"/>
                <w:lang w:eastAsia="zh-CN"/>
              </w:rPr>
              <w:t>广电</w:t>
            </w:r>
            <w:r>
              <w:rPr>
                <w:rFonts w:hint="eastAsia" w:ascii="仿宋_GB2312" w:hAnsi="Times New Roman" w:eastAsia="仿宋_GB2312"/>
                <w:color w:val="auto"/>
                <w:sz w:val="18"/>
                <w:szCs w:val="18"/>
              </w:rPr>
              <w:t>和旅游行政部门</w:t>
            </w:r>
          </w:p>
        </w:tc>
        <w:tc>
          <w:tcPr>
            <w:tcW w:w="11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xml:space="preserve">■政府网站          </w:t>
            </w:r>
          </w:p>
        </w:tc>
        <w:tc>
          <w:tcPr>
            <w:tcW w:w="61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rPr>
              <w:t>　</w:t>
            </w:r>
          </w:p>
        </w:tc>
      </w:tr>
    </w:tbl>
    <w:p/>
    <w:sectPr>
      <w:pgSz w:w="16838" w:h="11906" w:orient="landscape"/>
      <w:pgMar w:top="540" w:right="1440" w:bottom="10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A2461"/>
    <w:rsid w:val="034D7F8E"/>
    <w:rsid w:val="25A76753"/>
    <w:rsid w:val="2AF832AF"/>
    <w:rsid w:val="2C723ADC"/>
    <w:rsid w:val="2E2A2461"/>
    <w:rsid w:val="33E70B5F"/>
    <w:rsid w:val="38E72FAD"/>
    <w:rsid w:val="49F62064"/>
    <w:rsid w:val="54887439"/>
    <w:rsid w:val="65EC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TML Definition"/>
    <w:basedOn w:val="5"/>
    <w:qFormat/>
    <w:uiPriority w:val="0"/>
    <w:rPr>
      <w:i/>
    </w:rPr>
  </w:style>
  <w:style w:type="character" w:styleId="9">
    <w:name w:val="Hyperlink"/>
    <w:basedOn w:val="5"/>
    <w:qFormat/>
    <w:uiPriority w:val="0"/>
    <w:rPr>
      <w:color w:val="0000FF"/>
      <w:u w:val="none"/>
    </w:rPr>
  </w:style>
  <w:style w:type="character" w:styleId="10">
    <w:name w:val="HTML Code"/>
    <w:basedOn w:val="5"/>
    <w:qFormat/>
    <w:uiPriority w:val="0"/>
    <w:rPr>
      <w:rFonts w:ascii="monospace" w:hAnsi="monospace" w:eastAsia="monospace" w:cs="monospace"/>
      <w:sz w:val="21"/>
      <w:szCs w:val="21"/>
    </w:rPr>
  </w:style>
  <w:style w:type="character" w:styleId="11">
    <w:name w:val="HTML Keyboard"/>
    <w:basedOn w:val="5"/>
    <w:qFormat/>
    <w:uiPriority w:val="0"/>
    <w:rPr>
      <w:rFonts w:hint="default" w:ascii="monospace" w:hAnsi="monospace" w:eastAsia="monospace" w:cs="monospace"/>
      <w:sz w:val="21"/>
      <w:szCs w:val="21"/>
    </w:rPr>
  </w:style>
  <w:style w:type="character" w:styleId="12">
    <w:name w:val="HTML Sample"/>
    <w:basedOn w:val="5"/>
    <w:qFormat/>
    <w:uiPriority w:val="0"/>
    <w:rPr>
      <w:rFonts w:hint="default" w:ascii="monospace" w:hAnsi="monospace" w:eastAsia="monospace" w:cs="monospace"/>
      <w:sz w:val="21"/>
      <w:szCs w:val="21"/>
    </w:rPr>
  </w:style>
  <w:style w:type="character" w:customStyle="1" w:styleId="13">
    <w:name w:val="hover12"/>
    <w:basedOn w:val="5"/>
    <w:qFormat/>
    <w:uiPriority w:val="0"/>
    <w:rPr>
      <w:shd w:val="clear" w:fill="0B3791"/>
    </w:rPr>
  </w:style>
  <w:style w:type="character" w:customStyle="1" w:styleId="14">
    <w:name w:val="hover13"/>
    <w:basedOn w:val="5"/>
    <w:qFormat/>
    <w:uiPriority w:val="0"/>
    <w:rPr>
      <w:shd w:val="clear" w:fill="0B3791"/>
    </w:rPr>
  </w:style>
  <w:style w:type="character" w:customStyle="1" w:styleId="15">
    <w:name w:val="not([class*=suffix])"/>
    <w:basedOn w:val="5"/>
    <w:qFormat/>
    <w:uiPriority w:val="0"/>
    <w:rPr>
      <w:sz w:val="19"/>
      <w:szCs w:val="19"/>
    </w:rPr>
  </w:style>
  <w:style w:type="character" w:customStyle="1" w:styleId="16">
    <w:name w:val="not([class*=suffix])1"/>
    <w:basedOn w:val="5"/>
    <w:qFormat/>
    <w:uiPriority w:val="0"/>
  </w:style>
  <w:style w:type="character" w:customStyle="1" w:styleId="17">
    <w:name w:val="hover11"/>
    <w:basedOn w:val="5"/>
    <w:qFormat/>
    <w:uiPriority w:val="0"/>
    <w:rPr>
      <w:shd w:val="clear" w:fill="0B3791"/>
    </w:rPr>
  </w:style>
  <w:style w:type="character" w:customStyle="1" w:styleId="18">
    <w:name w:val="hover14"/>
    <w:basedOn w:val="5"/>
    <w:qFormat/>
    <w:uiPriority w:val="0"/>
    <w:rPr>
      <w:shd w:val="clear" w:fill="0B3791"/>
    </w:rPr>
  </w:style>
  <w:style w:type="character" w:customStyle="1" w:styleId="19">
    <w:name w:val="hover"/>
    <w:basedOn w:val="5"/>
    <w:qFormat/>
    <w:uiPriority w:val="0"/>
    <w:rPr>
      <w:shd w:val="clear" w:fill="0B3791"/>
    </w:rPr>
  </w:style>
  <w:style w:type="character" w:customStyle="1" w:styleId="20">
    <w:name w:val="hover1"/>
    <w:basedOn w:val="5"/>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2020-11-14T01:42:00Z</dcterms:created>
  <dc:creator>緣分峰</dc:creator>
  <cp:lastModifiedBy>胡新帅</cp:lastModifiedBy>
  <cp:lastPrinted>2020-11-16T08:06:00Z</cp:lastPrinted>
  <dcterms:modified xsi:type="dcterms:W3CDTF">2020-12-23T08:07:27Z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