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BB71">
      <w:pPr>
        <w:pStyle w:val="13"/>
        <w:jc w:val="center"/>
        <w:rPr>
          <w:rFonts w:ascii="宋体" w:hAnsi="宋体" w:cs="宋体"/>
          <w:b/>
          <w:sz w:val="36"/>
          <w:szCs w:val="36"/>
        </w:rPr>
      </w:pPr>
      <w:bookmarkStart w:id="0" w:name="bookmark3"/>
    </w:p>
    <w:p w14:paraId="416909ED">
      <w:pPr>
        <w:pStyle w:val="13"/>
        <w:jc w:val="center"/>
        <w:rPr>
          <w:rStyle w:val="22"/>
          <w:rFonts w:hint="eastAsia" w:ascii="宋体" w:hAnsi="宋体" w:eastAsia="宋体"/>
          <w:b/>
          <w:spacing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襄城县集中式生活饮用水</w:t>
      </w:r>
      <w:r>
        <w:rPr>
          <w:rStyle w:val="22"/>
          <w:rFonts w:hint="eastAsia" w:ascii="宋体" w:hAnsi="宋体" w:eastAsia="宋体"/>
          <w:b/>
          <w:spacing w:val="0"/>
          <w:sz w:val="44"/>
          <w:szCs w:val="44"/>
        </w:rPr>
        <w:t>水源水质状况报告</w:t>
      </w:r>
      <w:bookmarkEnd w:id="0"/>
    </w:p>
    <w:p w14:paraId="197F55B1">
      <w:pPr>
        <w:pStyle w:val="13"/>
        <w:jc w:val="center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  <w:lang w:val="zh-TW" w:eastAsia="zh-TW"/>
        </w:rPr>
        <w:t>(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上</w:t>
      </w:r>
      <w:r>
        <w:rPr>
          <w:rFonts w:hint="eastAsia" w:ascii="宋体" w:hAnsi="宋体" w:eastAsia="宋体"/>
          <w:sz w:val="32"/>
          <w:szCs w:val="32"/>
          <w:lang w:eastAsia="zh-CN"/>
        </w:rPr>
        <w:t>半年</w:t>
      </w:r>
      <w:r>
        <w:rPr>
          <w:rFonts w:hint="eastAsia" w:ascii="宋体" w:hAnsi="宋体" w:eastAsia="宋体"/>
          <w:color w:val="000000"/>
          <w:sz w:val="32"/>
          <w:szCs w:val="32"/>
        </w:rPr>
        <w:t>）</w:t>
      </w:r>
    </w:p>
    <w:p w14:paraId="1879D8A8">
      <w:pPr>
        <w:pStyle w:val="9"/>
        <w:shd w:val="clear" w:color="auto" w:fill="auto"/>
        <w:tabs>
          <w:tab w:val="left" w:pos="1207"/>
        </w:tabs>
        <w:spacing w:line="600" w:lineRule="exact"/>
        <w:ind w:firstLine="643" w:firstLineChars="200"/>
        <w:jc w:val="both"/>
        <w:rPr>
          <w:rFonts w:ascii="宋体" w:hAnsi="宋体" w:eastAsia="宋体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一、监测情况</w:t>
      </w:r>
    </w:p>
    <w:p w14:paraId="103BD81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按照《2024年许昌市生态环境监测方案的通知》要求，许昌市生态环境局襄城分局按照环境监测技术规范要求，安排人员对</w:t>
      </w:r>
    </w:p>
    <w:p w14:paraId="56743EAA">
      <w:pPr>
        <w:pStyle w:val="10"/>
        <w:shd w:val="clear" w:color="auto" w:fill="auto"/>
        <w:spacing w:line="600" w:lineRule="exact"/>
        <w:ind w:left="0" w:leftChars="0" w:firstLine="0" w:firstLineChars="0"/>
        <w:jc w:val="left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我县城市集中式饮用水水源第三水厂、备用水源第二水厂开展采样监测。</w:t>
      </w:r>
    </w:p>
    <w:p w14:paraId="4D438CCE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Fonts w:ascii="宋体" w:hAnsi="宋体" w:eastAsia="宋体"/>
          <w:spacing w:val="0"/>
        </w:rPr>
      </w:pPr>
      <w:r>
        <w:rPr>
          <w:rStyle w:val="15"/>
          <w:rFonts w:hint="eastAsia" w:eastAsia="宋体"/>
          <w:b w:val="0"/>
          <w:bCs w:val="0"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color w:val="000000"/>
          <w:spacing w:val="0"/>
          <w:lang w:val="zh-TW"/>
        </w:rPr>
        <w:t>监测点位</w:t>
      </w:r>
    </w:p>
    <w:p w14:paraId="5D09A80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第三水厂配水井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水源：具备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条件，在配水井处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；</w:t>
      </w:r>
    </w:p>
    <w:p w14:paraId="00D91C52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襄城县第二水厂备用水源：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抽水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。</w:t>
      </w:r>
    </w:p>
    <w:p w14:paraId="039021F2">
      <w:pPr>
        <w:pStyle w:val="7"/>
        <w:shd w:val="clear" w:color="auto" w:fill="auto"/>
        <w:spacing w:before="0" w:after="0" w:line="600" w:lineRule="exact"/>
        <w:ind w:left="40" w:firstLine="620"/>
        <w:jc w:val="both"/>
        <w:rPr>
          <w:rFonts w:ascii="宋体" w:hAnsi="宋体" w:eastAsia="宋体"/>
          <w:b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zh-TW"/>
        </w:rPr>
        <w:t>监测项目</w:t>
      </w:r>
    </w:p>
    <w:p w14:paraId="1263912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1、地表水水源：监测项目为《地表水环境质量标准》（GB3828-2002 )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全分析109项。</w:t>
      </w:r>
    </w:p>
    <w:p w14:paraId="16E7CD60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2、地下水水源：监测项目为《地下水质量标准》(GB/14848-2017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)上半年全分析93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796E353">
      <w:pPr>
        <w:pStyle w:val="7"/>
        <w:shd w:val="clear" w:color="auto" w:fill="auto"/>
        <w:spacing w:before="0" w:after="0" w:line="600" w:lineRule="exact"/>
        <w:ind w:left="40" w:firstLine="620"/>
        <w:jc w:val="both"/>
        <w:rPr>
          <w:rStyle w:val="15"/>
          <w:rFonts w:hint="eastAsia" w:eastAsia="宋体"/>
          <w:b/>
          <w:spacing w:val="0"/>
          <w:sz w:val="32"/>
          <w:szCs w:val="32"/>
          <w:lang w:val="en-US" w:eastAsia="zh-CN"/>
        </w:rPr>
      </w:pPr>
      <w:r>
        <w:rPr>
          <w:rStyle w:val="15"/>
          <w:rFonts w:hint="eastAsia" w:eastAsia="宋体"/>
          <w:b/>
          <w:spacing w:val="0"/>
          <w:sz w:val="32"/>
          <w:szCs w:val="32"/>
          <w:lang w:val="zh-TW" w:eastAsia="zh-CN"/>
        </w:rPr>
        <w:t>二、评价标准及方法</w:t>
      </w:r>
    </w:p>
    <w:p w14:paraId="26C40B46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TW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第三水厂水源根据《地表水环境质量标准》（GB3828-2002 )采用单因子评价法进行评价；第二水厂备用水源根据《地下水质量标准》(GB/T 14848-2017)采用单因子评价法进行评价。</w:t>
      </w:r>
    </w:p>
    <w:p w14:paraId="38CA0CC9">
      <w:pPr>
        <w:pStyle w:val="9"/>
        <w:shd w:val="clear" w:color="auto" w:fill="auto"/>
        <w:tabs>
          <w:tab w:val="left" w:pos="5470"/>
        </w:tabs>
        <w:spacing w:line="619" w:lineRule="exact"/>
        <w:ind w:firstLine="643" w:firstLineChars="200"/>
        <w:jc w:val="both"/>
        <w:rPr>
          <w:rFonts w:ascii="宋体" w:hAnsi="宋体" w:eastAsia="宋体" w:cs="Times New Roman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三、评价结果</w:t>
      </w:r>
    </w:p>
    <w:p w14:paraId="571B0597">
      <w:pPr>
        <w:pStyle w:val="12"/>
        <w:shd w:val="clear" w:color="auto" w:fill="auto"/>
        <w:spacing w:line="619" w:lineRule="exact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总体情况</w:t>
      </w:r>
    </w:p>
    <w:p w14:paraId="3143305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全分析109项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监测因子全部达标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，备用集中式饮用水水源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第二水厂源水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上半年全分析93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监测因子全部达标。(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详见附表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</w:t>
      </w:r>
    </w:p>
    <w:p w14:paraId="50DB9A35">
      <w:pPr>
        <w:pStyle w:val="12"/>
        <w:shd w:val="clear" w:color="auto" w:fill="auto"/>
        <w:spacing w:before="240" w:after="37" w:line="350" w:lineRule="exact"/>
        <w:ind w:left="0" w:leftChars="0" w:firstLine="321" w:firstLineChars="1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表水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348C965D">
      <w:pPr>
        <w:pStyle w:val="7"/>
        <w:shd w:val="clear" w:color="auto" w:fill="auto"/>
        <w:spacing w:before="0" w:after="0" w:line="624" w:lineRule="exact"/>
        <w:ind w:left="561" w:leftChars="100" w:right="420" w:hanging="321" w:hangingChars="100"/>
        <w:jc w:val="both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eastAsia="宋体"/>
          <w:b/>
          <w:spacing w:val="0"/>
          <w:sz w:val="32"/>
          <w:szCs w:val="32"/>
        </w:rPr>
        <w:t xml:space="preserve"> </w:t>
      </w:r>
      <w:r>
        <w:rPr>
          <w:rStyle w:val="15"/>
          <w:rFonts w:hint="eastAsia" w:eastAsia="宋体"/>
          <w:b/>
          <w:spacing w:val="0"/>
          <w:sz w:val="32"/>
          <w:szCs w:val="32"/>
        </w:rPr>
        <w:t xml:space="preserve">  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全分析109项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监测因子全部符合《地表水（GB3828-2002 )Ⅲ类水标准。</w:t>
      </w:r>
    </w:p>
    <w:p w14:paraId="56930170">
      <w:pPr>
        <w:pStyle w:val="12"/>
        <w:shd w:val="clear" w:color="auto" w:fill="auto"/>
        <w:spacing w:before="240" w:after="37" w:line="350" w:lineRule="exact"/>
        <w:ind w:left="0" w:leftChars="0" w:firstLine="321" w:firstLineChars="1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（3）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下水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2B5CC418">
      <w:pPr>
        <w:pStyle w:val="12"/>
        <w:shd w:val="clear" w:color="auto" w:fill="auto"/>
        <w:spacing w:line="619" w:lineRule="exact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备用集中式饮用水源</w:t>
      </w:r>
      <w:bookmarkStart w:id="2" w:name="_GoBack"/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上半年全分析93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bookmarkEnd w:id="2"/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监测因子全部符合《地下质量标准》（GB/T 14848-2017 )Ⅲ类水标准。</w:t>
      </w:r>
    </w:p>
    <w:p w14:paraId="1983518D">
      <w:pPr>
        <w:pStyle w:val="11"/>
        <w:shd w:val="clear" w:color="auto" w:fill="auto"/>
        <w:spacing w:after="752" w:line="440" w:lineRule="exact"/>
        <w:ind w:right="40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even"/>
          <w:pgSz w:w="11909" w:h="16838"/>
          <w:pgMar w:top="1282" w:right="1433" w:bottom="1806" w:left="1462" w:header="0" w:footer="3" w:gutter="0"/>
          <w:cols w:space="720" w:num="1"/>
          <w:titlePg/>
          <w:docGrid w:linePitch="360" w:charSpace="0"/>
        </w:sectPr>
      </w:pPr>
    </w:p>
    <w:p w14:paraId="08B7357F">
      <w:pPr>
        <w:pStyle w:val="11"/>
        <w:shd w:val="clear" w:color="auto" w:fill="auto"/>
        <w:spacing w:after="752" w:line="440" w:lineRule="exact"/>
        <w:ind w:right="40"/>
        <w:rPr>
          <w:rFonts w:ascii="宋体" w:hAnsi="宋体" w:eastAsia="宋体"/>
          <w:spacing w:val="0"/>
        </w:rPr>
      </w:pPr>
      <w:r>
        <w:rPr>
          <w:rFonts w:ascii="MingLiU" w:hAnsi="MingLiU" w:eastAsia="MingLiU" w:cs="MingLiU"/>
          <w:color w:val="auto"/>
          <w:spacing w:val="-50"/>
          <w:kern w:val="2"/>
          <w:sz w:val="39"/>
          <w:szCs w:val="39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margin">
                  <wp:posOffset>-664210</wp:posOffset>
                </wp:positionV>
                <wp:extent cx="490855" cy="201295"/>
                <wp:effectExtent l="0" t="0" r="0" b="0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6BB8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.75pt;margin-top:-52.3pt;height:15.85pt;width:38.65pt;mso-position-horizontal-relative:margin;mso-position-vertical-relative:margin;mso-wrap-distance-bottom:0pt;mso-wrap-distance-top:0pt;z-index:-251657216;mso-width-relative:page;mso-height-relative:page;" filled="f" stroked="f" coordsize="21600,21600" o:gfxdata="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ZGx72gAAAAkBAAAPAAAAAAAAAAEAIAAAACIAAABkcnMvZG93bnJldi54bWxQ&#10;SwECFAAUAAAACACHTuJAubKFt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A8D6BB8"/>
                  </w:txbxContent>
                </v:textbox>
                <w10:wrap type="topAndBottom"/>
              </v:rect>
            </w:pict>
          </mc:Fallback>
        </mc:AlternateContent>
      </w:r>
      <w:bookmarkStart w:id="1" w:name="bookmark5"/>
      <w:r>
        <w:rPr>
          <w:rStyle w:val="26"/>
          <w:rFonts w:eastAsia="宋体"/>
          <w:spacing w:val="0"/>
        </w:rPr>
        <w:t>20</w:t>
      </w:r>
      <w:r>
        <w:rPr>
          <w:rStyle w:val="26"/>
          <w:rFonts w:hint="eastAsia" w:eastAsia="宋体"/>
          <w:spacing w:val="0"/>
          <w:lang w:val="en-US" w:eastAsia="zh-CN"/>
        </w:rPr>
        <w:t>24</w:t>
      </w:r>
      <w:r>
        <w:rPr>
          <w:rFonts w:hint="eastAsia" w:ascii="宋体" w:hAnsi="宋体" w:eastAsia="宋体"/>
          <w:color w:val="000000"/>
          <w:spacing w:val="0"/>
          <w:lang w:val="zh-TW"/>
        </w:rPr>
        <w:t>年</w:t>
      </w:r>
      <w:r>
        <w:rPr>
          <w:rFonts w:hint="eastAsia" w:ascii="宋体" w:hAnsi="宋体" w:eastAsia="宋体"/>
          <w:color w:val="000000"/>
          <w:spacing w:val="0"/>
          <w:lang w:eastAsia="zh-CN"/>
        </w:rPr>
        <w:t>上半年</w:t>
      </w:r>
      <w:r>
        <w:rPr>
          <w:rFonts w:hint="eastAsia" w:ascii="宋体" w:hAnsi="宋体" w:eastAsia="宋体"/>
          <w:color w:val="000000"/>
          <w:spacing w:val="0"/>
        </w:rPr>
        <w:t>度</w:t>
      </w:r>
      <w:r>
        <w:rPr>
          <w:rFonts w:hint="eastAsia" w:ascii="宋体" w:hAnsi="宋体" w:eastAsia="宋体"/>
          <w:spacing w:val="0"/>
        </w:rPr>
        <w:t>襄城县</w:t>
      </w:r>
      <w:r>
        <w:rPr>
          <w:rFonts w:hint="eastAsia" w:ascii="宋体" w:hAnsi="宋体" w:eastAsia="宋体"/>
          <w:color w:val="000000"/>
          <w:spacing w:val="0"/>
          <w:lang w:val="zh-TW"/>
        </w:rPr>
        <w:t>集中式饮用水水源水质状况</w:t>
      </w:r>
      <w:bookmarkEnd w:id="1"/>
    </w:p>
    <w:tbl>
      <w:tblPr>
        <w:tblStyle w:val="5"/>
        <w:tblW w:w="13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584"/>
        <w:gridCol w:w="1236"/>
        <w:gridCol w:w="2835"/>
        <w:gridCol w:w="2126"/>
        <w:gridCol w:w="1985"/>
        <w:gridCol w:w="2686"/>
      </w:tblGrid>
      <w:tr w14:paraId="5C5A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937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EC0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A532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CEEB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水源名称</w:t>
            </w:r>
          </w:p>
          <w:p w14:paraId="2AE38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（监测点位）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33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9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迖标情况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2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超标指标及超标倍数</w:t>
            </w:r>
          </w:p>
        </w:tc>
      </w:tr>
      <w:tr w14:paraId="381C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CCA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A88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070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12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第三水厂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711A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地表水（源水）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A67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0D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  <w:tr w14:paraId="0CEA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D27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87C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81D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E4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第二水厂（备用水源）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06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FE2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84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</w:tbl>
    <w:p w14:paraId="09663375">
      <w:pPr>
        <w:pStyle w:val="7"/>
        <w:shd w:val="clear" w:color="auto" w:fill="auto"/>
        <w:spacing w:before="0" w:after="656" w:line="614" w:lineRule="exact"/>
        <w:ind w:left="20" w:right="320" w:firstLine="560"/>
        <w:jc w:val="both"/>
        <w:rPr>
          <w:rFonts w:ascii="宋体" w:hAnsi="宋体" w:eastAsia="宋体"/>
          <w:sz w:val="2"/>
          <w:szCs w:val="2"/>
        </w:rPr>
      </w:pPr>
    </w:p>
    <w:p w14:paraId="30B65380"/>
    <w:sectPr>
      <w:pgSz w:w="16838" w:h="11909" w:orient="landscape"/>
      <w:pgMar w:top="1435" w:right="1809" w:bottom="1463" w:left="1281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CBFE">
    <w:pPr>
      <w:rPr>
        <w:sz w:val="2"/>
        <w:szCs w:val="2"/>
      </w:rPr>
    </w:pPr>
    <w:r>
      <w:rPr>
        <w:rFonts w:ascii="Courier New" w:hAnsi="Courier New" w:eastAsia="宋体" w:cs="Courier New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3121660</wp:posOffset>
              </wp:positionV>
              <wp:extent cx="12065" cy="52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52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C6A6">
                          <w:pPr>
                            <w:pStyle w:val="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lang w:val="zh-TW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52.75pt;margin-top:245.8pt;height:4.1pt;width: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tBIUjYAAAACwEAAA8AAAAAAAAAAQAgAAAAIgAAAGRycy9kb3du&#10;cmV2LnhtbFBLAQIUABQAAAAIAIdO4kCD1kJPxgEAAIs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5C6A6">
                    <w:pPr>
                      <w:pStyle w:val="8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lang w:val="zh-TW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VjN2I4NDQyY2VkYTVmNjU4ZTQzZWI5YTQwMzcifQ=="/>
  </w:docVars>
  <w:rsids>
    <w:rsidRoot w:val="00000000"/>
    <w:rsid w:val="551E7CB1"/>
    <w:rsid w:val="72787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paragraph" w:styleId="2">
    <w:name w:val="heading 5"/>
    <w:basedOn w:val="1"/>
    <w:next w:val="1"/>
    <w:link w:val="30"/>
    <w:unhideWhenUsed/>
    <w:qFormat/>
    <w:locked/>
    <w:uiPriority w:val="0"/>
    <w:pPr>
      <w:spacing w:beforeAutospacing="1" w:afterAutospacing="1"/>
      <w:outlineLvl w:val="4"/>
    </w:pPr>
    <w:rPr>
      <w:rFonts w:hint="eastAsia" w:ascii="宋体" w:hAnsi="宋体" w:cs="Times New Roman"/>
      <w:b/>
      <w:sz w:val="20"/>
      <w:szCs w:val="20"/>
      <w:lang w:val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3"/>
    <w:basedOn w:val="1"/>
    <w:link w:val="14"/>
    <w:qFormat/>
    <w:uiPriority w:val="99"/>
    <w:pPr>
      <w:shd w:val="clear" w:color="auto" w:fill="FFFFFF"/>
      <w:spacing w:before="1260" w:after="2700" w:line="240" w:lineRule="atLeast"/>
      <w:jc w:val="right"/>
    </w:pPr>
    <w:rPr>
      <w:rFonts w:ascii="MingLiU" w:hAnsi="MingLiU" w:eastAsia="MingLiU" w:cs="MingLiU"/>
      <w:color w:val="auto"/>
      <w:kern w:val="2"/>
      <w:sz w:val="29"/>
      <w:szCs w:val="29"/>
      <w:lang w:val="en-US"/>
    </w:rPr>
  </w:style>
  <w:style w:type="paragraph" w:customStyle="1" w:styleId="8">
    <w:name w:val="页眉或页脚"/>
    <w:basedOn w:val="1"/>
    <w:link w:val="16"/>
    <w:uiPriority w:val="99"/>
    <w:pPr>
      <w:shd w:val="clear" w:color="auto" w:fill="FFFFFF"/>
      <w:spacing w:line="240" w:lineRule="atLeast"/>
    </w:pPr>
    <w:rPr>
      <w:rFonts w:ascii="宋体" w:hAnsi="宋体" w:cs="宋体"/>
      <w:color w:val="auto"/>
      <w:spacing w:val="60"/>
      <w:kern w:val="2"/>
      <w:sz w:val="19"/>
      <w:szCs w:val="19"/>
      <w:lang w:val="en-US"/>
    </w:rPr>
  </w:style>
  <w:style w:type="paragraph" w:customStyle="1" w:styleId="9">
    <w:name w:val="正文文本 (6)"/>
    <w:basedOn w:val="1"/>
    <w:link w:val="18"/>
    <w:qFormat/>
    <w:uiPriority w:val="99"/>
    <w:pPr>
      <w:shd w:val="clear" w:color="auto" w:fill="FFFFFF"/>
      <w:spacing w:line="610" w:lineRule="exact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0">
    <w:name w:val="正文文本 (7)"/>
    <w:basedOn w:val="1"/>
    <w:link w:val="20"/>
    <w:qFormat/>
    <w:uiPriority w:val="99"/>
    <w:pPr>
      <w:shd w:val="clear" w:color="auto" w:fill="FFFFFF"/>
      <w:spacing w:line="581" w:lineRule="exact"/>
      <w:ind w:firstLine="620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1">
    <w:name w:val="正文文本 (10)"/>
    <w:basedOn w:val="1"/>
    <w:link w:val="21"/>
    <w:qFormat/>
    <w:uiPriority w:val="99"/>
    <w:pPr>
      <w:shd w:val="clear" w:color="auto" w:fill="FFFFFF"/>
      <w:spacing w:after="120" w:line="586" w:lineRule="exact"/>
      <w:jc w:val="center"/>
    </w:pPr>
    <w:rPr>
      <w:rFonts w:ascii="MingLiU" w:hAnsi="MingLiU" w:eastAsia="MingLiU" w:cs="MingLiU"/>
      <w:color w:val="auto"/>
      <w:spacing w:val="-50"/>
      <w:kern w:val="2"/>
      <w:sz w:val="39"/>
      <w:szCs w:val="39"/>
      <w:lang w:val="en-US"/>
    </w:rPr>
  </w:style>
  <w:style w:type="paragraph" w:customStyle="1" w:styleId="12">
    <w:name w:val="正文文本 (11)"/>
    <w:basedOn w:val="1"/>
    <w:link w:val="24"/>
    <w:qFormat/>
    <w:uiPriority w:val="99"/>
    <w:pPr>
      <w:shd w:val="clear" w:color="auto" w:fill="FFFFFF"/>
      <w:spacing w:line="624" w:lineRule="exact"/>
      <w:ind w:firstLine="560"/>
      <w:jc w:val="distribute"/>
    </w:pPr>
    <w:rPr>
      <w:rFonts w:ascii="MingLiU" w:hAnsi="MingLiU" w:eastAsia="MingLiU" w:cs="MingLiU"/>
      <w:color w:val="auto"/>
      <w:spacing w:val="-40"/>
      <w:kern w:val="2"/>
      <w:sz w:val="33"/>
      <w:szCs w:val="33"/>
      <w:lang w:val="en-US"/>
    </w:rPr>
  </w:style>
  <w:style w:type="paragraph" w:customStyle="1" w:styleId="13">
    <w:name w:val="No Spacing"/>
    <w:qFormat/>
    <w:uiPriority w:val="99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character" w:customStyle="1" w:styleId="14">
    <w:name w:val="正文文本_"/>
    <w:basedOn w:val="6"/>
    <w:link w:val="7"/>
    <w:qFormat/>
    <w:locked/>
    <w:uiPriority w:val="99"/>
    <w:rPr>
      <w:rFonts w:ascii="MingLiU" w:hAnsi="MingLiU" w:eastAsia="MingLiU" w:cs="MingLiU"/>
      <w:sz w:val="29"/>
      <w:szCs w:val="29"/>
      <w:shd w:val="clear" w:color="auto" w:fill="FFFFFF"/>
    </w:rPr>
  </w:style>
  <w:style w:type="character" w:customStyle="1" w:styleId="15">
    <w:name w:val="正文文本 + SimSun"/>
    <w:basedOn w:val="14"/>
    <w:qFormat/>
    <w:uiPriority w:val="99"/>
    <w:rPr>
      <w:rFonts w:ascii="宋体" w:hAnsi="宋体" w:cs="宋体"/>
      <w:color w:val="000000"/>
      <w:spacing w:val="10"/>
      <w:w w:val="100"/>
      <w:position w:val="0"/>
      <w:sz w:val="27"/>
      <w:szCs w:val="27"/>
      <w:lang w:val="en-US"/>
    </w:rPr>
  </w:style>
  <w:style w:type="character" w:customStyle="1" w:styleId="16">
    <w:name w:val="页眉或页脚_"/>
    <w:basedOn w:val="6"/>
    <w:link w:val="8"/>
    <w:qFormat/>
    <w:locked/>
    <w:uiPriority w:val="99"/>
    <w:rPr>
      <w:rFonts w:ascii="宋体" w:hAnsi="宋体" w:cs="宋体"/>
      <w:spacing w:val="60"/>
      <w:sz w:val="19"/>
      <w:szCs w:val="19"/>
      <w:shd w:val="clear" w:color="auto" w:fill="FFFFFF"/>
    </w:rPr>
  </w:style>
  <w:style w:type="character" w:customStyle="1" w:styleId="17">
    <w:name w:val="正文文本 + 间距 3 pt"/>
    <w:basedOn w:val="14"/>
    <w:qFormat/>
    <w:uiPriority w:val="99"/>
    <w:rPr>
      <w:color w:val="000000"/>
      <w:spacing w:val="70"/>
      <w:w w:val="100"/>
      <w:position w:val="0"/>
      <w:lang w:val="zh-TW"/>
    </w:rPr>
  </w:style>
  <w:style w:type="character" w:customStyle="1" w:styleId="18">
    <w:name w:val="正文文本 (6)_"/>
    <w:basedOn w:val="6"/>
    <w:link w:val="9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19">
    <w:name w:val="正文文本2"/>
    <w:basedOn w:val="14"/>
    <w:qFormat/>
    <w:uiPriority w:val="99"/>
    <w:rPr>
      <w:color w:val="000000"/>
      <w:spacing w:val="0"/>
      <w:w w:val="100"/>
      <w:position w:val="0"/>
      <w:lang w:val="zh-TW"/>
    </w:rPr>
  </w:style>
  <w:style w:type="character" w:customStyle="1" w:styleId="20">
    <w:name w:val="正文文本 (7)_"/>
    <w:basedOn w:val="6"/>
    <w:link w:val="10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21">
    <w:name w:val="正文文本 (10)_"/>
    <w:basedOn w:val="6"/>
    <w:link w:val="11"/>
    <w:qFormat/>
    <w:locked/>
    <w:uiPriority w:val="99"/>
    <w:rPr>
      <w:rFonts w:ascii="MingLiU" w:hAnsi="MingLiU" w:eastAsia="MingLiU" w:cs="MingLiU"/>
      <w:spacing w:val="-50"/>
      <w:sz w:val="39"/>
      <w:szCs w:val="39"/>
      <w:shd w:val="clear" w:color="auto" w:fill="FFFFFF"/>
    </w:rPr>
  </w:style>
  <w:style w:type="character" w:customStyle="1" w:styleId="22">
    <w:name w:val="正文文本 (10) + 间距 2 pt"/>
    <w:basedOn w:val="21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3">
    <w:name w:val="正文文本 + 间距 2 pt"/>
    <w:basedOn w:val="14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4">
    <w:name w:val="正文文本 (11)_"/>
    <w:basedOn w:val="6"/>
    <w:link w:val="12"/>
    <w:qFormat/>
    <w:locked/>
    <w:uiPriority w:val="99"/>
    <w:rPr>
      <w:rFonts w:ascii="MingLiU" w:hAnsi="MingLiU" w:eastAsia="MingLiU" w:cs="MingLiU"/>
      <w:spacing w:val="-40"/>
      <w:sz w:val="33"/>
      <w:szCs w:val="33"/>
      <w:shd w:val="clear" w:color="auto" w:fill="FFFFFF"/>
    </w:rPr>
  </w:style>
  <w:style w:type="character" w:customStyle="1" w:styleId="25">
    <w:name w:val="页眉或页脚 + 间距 0 pt"/>
    <w:basedOn w:val="16"/>
    <w:qFormat/>
    <w:uiPriority w:val="99"/>
    <w:rPr>
      <w:color w:val="000000"/>
      <w:spacing w:val="-10"/>
      <w:w w:val="100"/>
      <w:position w:val="0"/>
    </w:rPr>
  </w:style>
  <w:style w:type="character" w:customStyle="1" w:styleId="26">
    <w:name w:val="正文文本 (10) + SimSun"/>
    <w:basedOn w:val="21"/>
    <w:qFormat/>
    <w:uiPriority w:val="99"/>
    <w:rPr>
      <w:rFonts w:ascii="宋体" w:hAnsi="宋体" w:cs="宋体"/>
      <w:color w:val="000000"/>
      <w:w w:val="100"/>
      <w:position w:val="0"/>
      <w:sz w:val="44"/>
      <w:szCs w:val="44"/>
      <w:lang w:val="zh-TW"/>
    </w:rPr>
  </w:style>
  <w:style w:type="character" w:customStyle="1" w:styleId="27">
    <w:name w:val="正文文本 + SimHei"/>
    <w:basedOn w:val="14"/>
    <w:qFormat/>
    <w:uiPriority w:val="99"/>
    <w:rPr>
      <w:rFonts w:ascii="黑体" w:hAnsi="黑体" w:cs="黑体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8">
    <w:name w:val="页眉 Char Char"/>
    <w:basedOn w:val="6"/>
    <w:link w:val="4"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29">
    <w:name w:val="页脚 Char Char"/>
    <w:basedOn w:val="6"/>
    <w:link w:val="3"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30">
    <w:name w:val="标题 5 Char Char"/>
    <w:basedOn w:val="6"/>
    <w:link w:val="2"/>
    <w:uiPriority w:val="0"/>
    <w:rPr>
      <w:rFonts w:ascii="宋体" w:hAnsi="宋体"/>
      <w:b/>
      <w:color w:val="000000"/>
    </w:rPr>
  </w:style>
  <w:style w:type="character" w:customStyle="1" w:styleId="3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630</Words>
  <Characters>724</Characters>
  <Lines>6</Lines>
  <Paragraphs>1</Paragraphs>
  <TotalTime>3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2018-11-07T00:28:00Z</dcterms:created>
  <dc:creator>Administrator</dc:creator>
  <cp:lastModifiedBy>WPS_1641199970</cp:lastModifiedBy>
  <cp:lastPrinted>2024-08-14T01:09:55Z</cp:lastPrinted>
  <dcterms:modified xsi:type="dcterms:W3CDTF">2024-08-14T01:10:40Z</dcterms:modified>
  <dc:title>2016年6月许昌市城市集中式饮用水水源水质状况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6E6F36DCCE7644B5A7BE5AB9E9EC2786_13</vt:lpwstr>
  </property>
</Properties>
</file>