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Lines w:val="0"/>
        <w:pageBreakBefore w:val="0"/>
        <w:kinsoku/>
        <w:wordWrap w:val="0"/>
        <w:topLinePunct w:val="0"/>
        <w:bidi w:val="0"/>
        <w:rPr>
          <w:rFonts w:ascii="Times New Roman" w:hAnsi="Times New Roman" w:eastAsia="仿宋_GB2312" w:cs="仿宋_GB2312"/>
          <w:color w:val="000000" w:themeColor="text1"/>
          <w:sz w:val="36"/>
          <w:szCs w:val="36"/>
          <w14:textFill>
            <w14:solidFill>
              <w14:schemeClr w14:val="tx1"/>
            </w14:solidFill>
          </w14:textFill>
        </w:rPr>
      </w:pPr>
    </w:p>
    <w:p>
      <w:pPr>
        <w:keepLines w:val="0"/>
        <w:pageBreakBefore w:val="0"/>
        <w:kinsoku/>
        <w:wordWrap w:val="0"/>
        <w:topLinePunct w:val="0"/>
        <w:bidi w:val="0"/>
        <w:rPr>
          <w:rFonts w:ascii="Times New Roman" w:hAnsi="Times New Roman" w:eastAsia="仿宋_GB2312" w:cs="仿宋_GB2312"/>
          <w:color w:val="000000" w:themeColor="text1"/>
          <w:sz w:val="36"/>
          <w:szCs w:val="36"/>
          <w14:textFill>
            <w14:solidFill>
              <w14:schemeClr w14:val="tx1"/>
            </w14:solidFill>
          </w14:textFill>
        </w:rPr>
      </w:pPr>
    </w:p>
    <w:p>
      <w:pPr>
        <w:keepLines w:val="0"/>
        <w:pageBreakBefore w:val="0"/>
        <w:kinsoku/>
        <w:wordWrap w:val="0"/>
        <w:topLinePunct w:val="0"/>
        <w:bidi w:val="0"/>
        <w:rPr>
          <w:rFonts w:ascii="Times New Roman" w:hAnsi="Times New Roman" w:eastAsia="仿宋_GB2312" w:cs="仿宋_GB2312"/>
          <w:color w:val="000000" w:themeColor="text1"/>
          <w:sz w:val="36"/>
          <w:szCs w:val="36"/>
          <w14:textFill>
            <w14:solidFill>
              <w14:schemeClr w14:val="tx1"/>
            </w14:solidFill>
          </w14:textFill>
        </w:rPr>
      </w:pPr>
    </w:p>
    <w:p>
      <w:pPr>
        <w:keepLines w:val="0"/>
        <w:pageBreakBefore w:val="0"/>
        <w:kinsoku/>
        <w:wordWrap w:val="0"/>
        <w:topLinePunct w:val="0"/>
        <w:bidi w:val="0"/>
        <w:rPr>
          <w:rFonts w:ascii="Times New Roman" w:hAnsi="Times New Roman" w:eastAsia="仿宋_GB2312" w:cs="仿宋_GB2312"/>
          <w:color w:val="000000" w:themeColor="text1"/>
          <w:sz w:val="36"/>
          <w:szCs w:val="36"/>
          <w14:textFill>
            <w14:solidFill>
              <w14:schemeClr w14:val="tx1"/>
            </w14:solidFill>
          </w14:textFill>
        </w:rPr>
      </w:pPr>
    </w:p>
    <w:p>
      <w:pPr>
        <w:keepLines w:val="0"/>
        <w:pageBreakBefore w:val="0"/>
        <w:kinsoku/>
        <w:wordWrap w:val="0"/>
        <w:topLinePunct w:val="0"/>
        <w:bidi w:val="0"/>
        <w:rPr>
          <w:rFonts w:hint="eastAsia" w:ascii="Times New Roman" w:hAnsi="Times New Roman" w:eastAsia="仿宋_GB2312" w:cs="仿宋_GB2312"/>
          <w:color w:val="000000" w:themeColor="text1"/>
          <w:sz w:val="36"/>
          <w:szCs w:val="36"/>
          <w14:textFill>
            <w14:solidFill>
              <w14:schemeClr w14:val="tx1"/>
            </w14:solidFill>
          </w14:textFill>
        </w:rPr>
      </w:pPr>
    </w:p>
    <w:p>
      <w:pPr>
        <w:keepLines w:val="0"/>
        <w:pageBreakBefore w:val="0"/>
        <w:kinsoku/>
        <w:wordWrap w:val="0"/>
        <w:topLinePunct w:val="0"/>
        <w:bidi w:val="0"/>
        <w:adjustRightInd w:val="0"/>
        <w:snapToGrid w:val="0"/>
        <w:jc w:val="center"/>
        <w:outlineLvl w:val="0"/>
        <w:rPr>
          <w:rFonts w:hint="eastAsia" w:ascii="Times New Roman" w:hAnsi="Times New Roman" w:eastAsia="方正小标宋_GBK"/>
          <w:bCs/>
          <w:color w:val="000000" w:themeColor="text1"/>
          <w:sz w:val="72"/>
          <w:szCs w:val="72"/>
          <w14:textFill>
            <w14:solidFill>
              <w14:schemeClr w14:val="tx1"/>
            </w14:solidFill>
          </w14:textFill>
        </w:rPr>
      </w:pPr>
      <w:r>
        <w:rPr>
          <w:rFonts w:hint="eastAsia" w:ascii="Times New Roman" w:hAnsi="Times New Roman" w:eastAsia="方正小标宋_GBK"/>
          <w:bCs/>
          <w:color w:val="000000" w:themeColor="text1"/>
          <w:sz w:val="72"/>
          <w:szCs w:val="72"/>
          <w14:textFill>
            <w14:solidFill>
              <w14:schemeClr w14:val="tx1"/>
            </w14:solidFill>
          </w14:textFill>
        </w:rPr>
        <w:t>建设项目环境影响报告表</w:t>
      </w:r>
    </w:p>
    <w:p>
      <w:pPr>
        <w:keepLines w:val="0"/>
        <w:pageBreakBefore w:val="0"/>
        <w:kinsoku/>
        <w:wordWrap w:val="0"/>
        <w:topLinePunct w:val="0"/>
        <w:bidi w:val="0"/>
        <w:adjustRightInd w:val="0"/>
        <w:snapToGrid w:val="0"/>
        <w:spacing w:before="192" w:beforeLines="80"/>
        <w:jc w:val="center"/>
        <w:rPr>
          <w:rFonts w:hint="eastAsia" w:ascii="Times New Roman" w:hAnsi="Times New Roman" w:eastAsia="楷体_GB2312"/>
          <w:bCs/>
          <w:color w:val="000000" w:themeColor="text1"/>
          <w:sz w:val="48"/>
          <w:szCs w:val="48"/>
          <w14:textFill>
            <w14:solidFill>
              <w14:schemeClr w14:val="tx1"/>
            </w14:solidFill>
          </w14:textFill>
        </w:rPr>
      </w:pPr>
      <w:r>
        <w:rPr>
          <w:rFonts w:hint="eastAsia" w:ascii="Times New Roman" w:hAnsi="Times New Roman" w:eastAsia="楷体_GB2312"/>
          <w:bCs/>
          <w:color w:val="000000" w:themeColor="text1"/>
          <w:sz w:val="48"/>
          <w:szCs w:val="48"/>
          <w14:textFill>
            <w14:solidFill>
              <w14:schemeClr w14:val="tx1"/>
            </w14:solidFill>
          </w14:textFill>
        </w:rPr>
        <w:t>（污染影响类）</w:t>
      </w:r>
    </w:p>
    <w:p>
      <w:pPr>
        <w:keepLines w:val="0"/>
        <w:pageBreakBefore w:val="0"/>
        <w:kinsoku/>
        <w:wordWrap w:val="0"/>
        <w:topLinePunct w:val="0"/>
        <w:bidi w:val="0"/>
        <w:rPr>
          <w:rFonts w:ascii="Times New Roman" w:hAnsi="Times New Roman" w:eastAsia="华文仿宋" w:cs="华文仿宋"/>
          <w:color w:val="000000" w:themeColor="text1"/>
          <w:kern w:val="44"/>
          <w:sz w:val="44"/>
          <w:szCs w:val="44"/>
          <w14:textFill>
            <w14:solidFill>
              <w14:schemeClr w14:val="tx1"/>
            </w14:solidFill>
          </w14:textFill>
        </w:rPr>
      </w:pPr>
    </w:p>
    <w:p>
      <w:pPr>
        <w:keepLines w:val="0"/>
        <w:pageBreakBefore w:val="0"/>
        <w:kinsoku/>
        <w:wordWrap w:val="0"/>
        <w:topLinePunct w:val="0"/>
        <w:bidi w:val="0"/>
        <w:rPr>
          <w:rFonts w:hint="eastAsia" w:ascii="Times New Roman" w:hAnsi="Times New Roman" w:eastAsia="仿宋"/>
          <w:color w:val="000000" w:themeColor="text1"/>
          <w:sz w:val="52"/>
          <w:szCs w:val="52"/>
          <w14:textFill>
            <w14:solidFill>
              <w14:schemeClr w14:val="tx1"/>
            </w14:solidFill>
          </w14:textFill>
        </w:rPr>
      </w:pPr>
    </w:p>
    <w:p>
      <w:pPr>
        <w:keepLines w:val="0"/>
        <w:pageBreakBefore w:val="0"/>
        <w:kinsoku/>
        <w:wordWrap w:val="0"/>
        <w:topLinePunct w:val="0"/>
        <w:bidi w:val="0"/>
        <w:ind w:firstLine="1040"/>
        <w:rPr>
          <w:rFonts w:ascii="Times New Roman" w:hAnsi="Times New Roman" w:eastAsia="仿宋"/>
          <w:color w:val="000000" w:themeColor="text1"/>
          <w:sz w:val="44"/>
          <w:szCs w:val="44"/>
          <w14:textFill>
            <w14:solidFill>
              <w14:schemeClr w14:val="tx1"/>
            </w14:solidFill>
          </w14:textFill>
        </w:rPr>
      </w:pPr>
    </w:p>
    <w:p>
      <w:pPr>
        <w:keepLines w:val="0"/>
        <w:pageBreakBefore w:val="0"/>
        <w:kinsoku/>
        <w:wordWrap w:val="0"/>
        <w:topLinePunct w:val="0"/>
        <w:bidi w:val="0"/>
        <w:ind w:firstLine="1040"/>
        <w:rPr>
          <w:rFonts w:ascii="Times New Roman" w:hAnsi="Times New Roman" w:eastAsia="仿宋"/>
          <w:color w:val="000000" w:themeColor="text1"/>
          <w:sz w:val="44"/>
          <w:szCs w:val="44"/>
          <w14:textFill>
            <w14:solidFill>
              <w14:schemeClr w14:val="tx1"/>
            </w14:solidFill>
          </w14:textFill>
        </w:rPr>
      </w:pPr>
    </w:p>
    <w:p>
      <w:pPr>
        <w:keepLines w:val="0"/>
        <w:pageBreakBefore w:val="0"/>
        <w:kinsoku/>
        <w:wordWrap w:val="0"/>
        <w:topLinePunct w:val="0"/>
        <w:bidi w:val="0"/>
        <w:ind w:firstLine="1040"/>
        <w:rPr>
          <w:rFonts w:ascii="Times New Roman" w:hAnsi="Times New Roman" w:eastAsia="仿宋"/>
          <w:color w:val="000000" w:themeColor="text1"/>
          <w:sz w:val="44"/>
          <w:szCs w:val="44"/>
          <w14:textFill>
            <w14:solidFill>
              <w14:schemeClr w14:val="tx1"/>
            </w14:solidFill>
          </w14:textFill>
        </w:rPr>
      </w:pPr>
    </w:p>
    <w:p>
      <w:pPr>
        <w:keepLines w:val="0"/>
        <w:pageBreakBefore w:val="0"/>
        <w:kinsoku/>
        <w:wordWrap w:val="0"/>
        <w:topLinePunct w:val="0"/>
        <w:bidi w:val="0"/>
        <w:adjustRightInd w:val="0"/>
        <w:snapToGrid w:val="0"/>
        <w:spacing w:line="288" w:lineRule="auto"/>
        <w:ind w:left="191" w:leftChars="91" w:firstLine="1080" w:firstLineChars="300"/>
        <w:rPr>
          <w:rFonts w:hint="default" w:ascii="Times New Roman" w:hAnsi="Times New Roman" w:eastAsia="仿宋_GB2312"/>
          <w:color w:val="000000" w:themeColor="text1"/>
          <w:sz w:val="36"/>
          <w:szCs w:val="36"/>
          <w:u w:val="single"/>
          <w:lang w:val="en-US" w:eastAsia="zh-CN"/>
          <w14:textFill>
            <w14:solidFill>
              <w14:schemeClr w14:val="tx1"/>
            </w14:solidFill>
          </w14:textFill>
        </w:rPr>
      </w:pPr>
      <w:r>
        <w:rPr>
          <w:rFonts w:hint="eastAsia" w:ascii="Times New Roman" w:hAnsi="Times New Roman" w:eastAsia="仿宋_GB2312"/>
          <w:color w:val="000000" w:themeColor="text1"/>
          <w:sz w:val="36"/>
          <w:szCs w:val="36"/>
          <w14:textFill>
            <w14:solidFill>
              <w14:schemeClr w14:val="tx1"/>
            </w14:solidFill>
          </w14:textFill>
        </w:rPr>
        <w:t xml:space="preserve">项目名称： </w:t>
      </w:r>
      <w:r>
        <w:rPr>
          <w:rFonts w:hint="eastAsia" w:ascii="Times New Roman" w:hAnsi="Times New Roman" w:eastAsia="仿宋_GB2312"/>
          <w:color w:val="000000" w:themeColor="text1"/>
          <w:sz w:val="36"/>
          <w:szCs w:val="36"/>
          <w:u w:val="single"/>
          <w:lang w:val="en-US" w:eastAsia="zh-CN"/>
          <w14:textFill>
            <w14:solidFill>
              <w14:schemeClr w14:val="tx1"/>
            </w14:solidFill>
          </w14:textFill>
        </w:rPr>
        <w:t>危险废物综合收储项目</w:t>
      </w:r>
    </w:p>
    <w:p>
      <w:pPr>
        <w:keepLines w:val="0"/>
        <w:pageBreakBefore w:val="0"/>
        <w:kinsoku/>
        <w:wordWrap w:val="0"/>
        <w:topLinePunct w:val="0"/>
        <w:bidi w:val="0"/>
        <w:adjustRightInd w:val="0"/>
        <w:snapToGrid w:val="0"/>
        <w:spacing w:line="288" w:lineRule="auto"/>
        <w:ind w:left="191" w:leftChars="91" w:firstLine="1080" w:firstLineChars="300"/>
        <w:rPr>
          <w:rFonts w:ascii="Times New Roman" w:hAnsi="Times New Roman" w:eastAsia="仿宋_GB2312"/>
          <w:color w:val="000000" w:themeColor="text1"/>
          <w:sz w:val="36"/>
          <w:szCs w:val="36"/>
          <w:u w:val="single"/>
          <w14:textFill>
            <w14:solidFill>
              <w14:schemeClr w14:val="tx1"/>
            </w14:solidFill>
          </w14:textFill>
        </w:rPr>
      </w:pPr>
      <w:r>
        <w:rPr>
          <w:rFonts w:hint="eastAsia" w:ascii="Times New Roman" w:hAnsi="Times New Roman" w:eastAsia="仿宋_GB2312"/>
          <w:color w:val="000000" w:themeColor="text1"/>
          <w:sz w:val="36"/>
          <w:szCs w:val="36"/>
          <w14:textFill>
            <w14:solidFill>
              <w14:schemeClr w14:val="tx1"/>
            </w14:solidFill>
          </w14:textFill>
        </w:rPr>
        <w:t>建设单位（盖章）：</w:t>
      </w:r>
      <w:r>
        <w:rPr>
          <w:rFonts w:hint="eastAsia" w:ascii="Times New Roman" w:hAnsi="Times New Roman" w:eastAsia="仿宋_GB2312"/>
          <w:color w:val="000000" w:themeColor="text1"/>
          <w:spacing w:val="-20"/>
          <w:sz w:val="36"/>
          <w:szCs w:val="36"/>
          <w:u w:val="single"/>
          <w:lang w:val="en-US" w:eastAsia="zh-CN"/>
          <w14:textFill>
            <w14:solidFill>
              <w14:schemeClr w14:val="tx1"/>
            </w14:solidFill>
          </w14:textFill>
        </w:rPr>
        <w:t>河南好源贸环保科技有限公司</w:t>
      </w:r>
      <w:r>
        <w:rPr>
          <w:rFonts w:ascii="Times New Roman" w:hAnsi="Times New Roman" w:eastAsia="仿宋_GB2312"/>
          <w:color w:val="000000" w:themeColor="text1"/>
          <w:spacing w:val="-20"/>
          <w:sz w:val="36"/>
          <w:szCs w:val="36"/>
          <w:u w:val="single"/>
          <w14:textFill>
            <w14:solidFill>
              <w14:schemeClr w14:val="tx1"/>
            </w14:solidFill>
          </w14:textFill>
        </w:rPr>
        <w:t xml:space="preserve"> </w:t>
      </w:r>
    </w:p>
    <w:p>
      <w:pPr>
        <w:keepLines w:val="0"/>
        <w:pageBreakBefore w:val="0"/>
        <w:kinsoku/>
        <w:wordWrap w:val="0"/>
        <w:topLinePunct w:val="0"/>
        <w:bidi w:val="0"/>
        <w:adjustRightInd w:val="0"/>
        <w:snapToGrid w:val="0"/>
        <w:spacing w:line="288" w:lineRule="auto"/>
        <w:ind w:left="191" w:leftChars="91" w:firstLine="1080" w:firstLineChars="300"/>
        <w:rPr>
          <w:rFonts w:hint="eastAsia" w:ascii="Times New Roman" w:hAnsi="Times New Roman" w:eastAsia="仿宋_GB2312"/>
          <w:color w:val="000000" w:themeColor="text1"/>
          <w:sz w:val="36"/>
          <w:szCs w:val="36"/>
          <w:u w:val="single"/>
          <w14:textFill>
            <w14:solidFill>
              <w14:schemeClr w14:val="tx1"/>
            </w14:solidFill>
          </w14:textFill>
        </w:rPr>
      </w:pPr>
      <w:r>
        <w:rPr>
          <w:rFonts w:hint="eastAsia" w:ascii="Times New Roman" w:hAnsi="Times New Roman" w:eastAsia="仿宋_GB2312"/>
          <w:color w:val="000000" w:themeColor="text1"/>
          <w:sz w:val="36"/>
          <w:szCs w:val="36"/>
          <w14:textFill>
            <w14:solidFill>
              <w14:schemeClr w14:val="tx1"/>
            </w14:solidFill>
          </w14:textFill>
        </w:rPr>
        <w:t>编制日期：</w:t>
      </w:r>
      <w:r>
        <w:rPr>
          <w:rFonts w:hint="eastAsia" w:ascii="Times New Roman" w:hAnsi="Times New Roman" w:eastAsia="仿宋_GB2312"/>
          <w:color w:val="000000" w:themeColor="text1"/>
          <w:sz w:val="36"/>
          <w:szCs w:val="36"/>
          <w:u w:val="single"/>
          <w14:textFill>
            <w14:solidFill>
              <w14:schemeClr w14:val="tx1"/>
            </w14:solidFill>
          </w14:textFill>
        </w:rPr>
        <w:t xml:space="preserve"> </w:t>
      </w:r>
      <w:r>
        <w:rPr>
          <w:rFonts w:ascii="Times New Roman" w:hAnsi="Times New Roman" w:eastAsia="仿宋_GB2312"/>
          <w:color w:val="000000" w:themeColor="text1"/>
          <w:sz w:val="36"/>
          <w:szCs w:val="36"/>
          <w:u w:val="single"/>
          <w14:textFill>
            <w14:solidFill>
              <w14:schemeClr w14:val="tx1"/>
            </w14:solidFill>
          </w14:textFill>
        </w:rPr>
        <w:t xml:space="preserve"> 202</w:t>
      </w:r>
      <w:r>
        <w:rPr>
          <w:rFonts w:hint="eastAsia" w:ascii="Times New Roman" w:hAnsi="Times New Roman" w:eastAsia="仿宋_GB2312"/>
          <w:color w:val="000000" w:themeColor="text1"/>
          <w:sz w:val="36"/>
          <w:szCs w:val="36"/>
          <w:u w:val="single"/>
          <w:lang w:val="en-US" w:eastAsia="zh-CN"/>
          <w14:textFill>
            <w14:solidFill>
              <w14:schemeClr w14:val="tx1"/>
            </w14:solidFill>
          </w14:textFill>
        </w:rPr>
        <w:t>3</w:t>
      </w:r>
      <w:r>
        <w:rPr>
          <w:rFonts w:hint="eastAsia" w:ascii="Times New Roman" w:hAnsi="Times New Roman" w:eastAsia="仿宋_GB2312"/>
          <w:color w:val="000000" w:themeColor="text1"/>
          <w:sz w:val="36"/>
          <w:szCs w:val="36"/>
          <w:u w:val="single"/>
          <w14:textFill>
            <w14:solidFill>
              <w14:schemeClr w14:val="tx1"/>
            </w14:solidFill>
          </w14:textFill>
        </w:rPr>
        <w:t>年</w:t>
      </w:r>
      <w:r>
        <w:rPr>
          <w:rFonts w:hint="eastAsia" w:eastAsia="仿宋_GB2312"/>
          <w:color w:val="000000" w:themeColor="text1"/>
          <w:sz w:val="36"/>
          <w:szCs w:val="36"/>
          <w:u w:val="single"/>
          <w:lang w:val="en-US" w:eastAsia="zh-CN"/>
          <w14:textFill>
            <w14:solidFill>
              <w14:schemeClr w14:val="tx1"/>
            </w14:solidFill>
          </w14:textFill>
        </w:rPr>
        <w:t>10</w:t>
      </w:r>
      <w:r>
        <w:rPr>
          <w:rFonts w:hint="eastAsia" w:ascii="Times New Roman" w:hAnsi="Times New Roman" w:eastAsia="仿宋_GB2312"/>
          <w:color w:val="000000" w:themeColor="text1"/>
          <w:sz w:val="36"/>
          <w:szCs w:val="36"/>
          <w:u w:val="single"/>
          <w14:textFill>
            <w14:solidFill>
              <w14:schemeClr w14:val="tx1"/>
            </w14:solidFill>
          </w14:textFill>
        </w:rPr>
        <w:t>月</w:t>
      </w:r>
      <w:r>
        <w:rPr>
          <w:rFonts w:ascii="Times New Roman" w:hAnsi="Times New Roman" w:eastAsia="仿宋_GB2312"/>
          <w:color w:val="000000" w:themeColor="text1"/>
          <w:sz w:val="36"/>
          <w:szCs w:val="36"/>
          <w:u w:val="single"/>
          <w14:textFill>
            <w14:solidFill>
              <w14:schemeClr w14:val="tx1"/>
            </w14:solidFill>
          </w14:textFill>
        </w:rPr>
        <w:t xml:space="preserve">  </w:t>
      </w:r>
    </w:p>
    <w:p>
      <w:pPr>
        <w:keepLines w:val="0"/>
        <w:pageBreakBefore w:val="0"/>
        <w:kinsoku/>
        <w:wordWrap w:val="0"/>
        <w:topLinePunct w:val="0"/>
        <w:bidi w:val="0"/>
        <w:adjustRightInd w:val="0"/>
        <w:snapToGrid w:val="0"/>
        <w:spacing w:line="288" w:lineRule="auto"/>
        <w:ind w:firstLine="1040"/>
        <w:rPr>
          <w:rFonts w:ascii="Times New Roman" w:hAnsi="Times New Roman" w:eastAsia="仿宋_GB2312"/>
          <w:color w:val="000000" w:themeColor="text1"/>
          <w:sz w:val="36"/>
          <w:szCs w:val="36"/>
          <w:u w:val="single"/>
          <w14:textFill>
            <w14:solidFill>
              <w14:schemeClr w14:val="tx1"/>
            </w14:solidFill>
          </w14:textFill>
        </w:rPr>
      </w:pPr>
      <w:bookmarkStart w:id="0" w:name="_Hlk57884087"/>
    </w:p>
    <w:p>
      <w:pPr>
        <w:keepLines w:val="0"/>
        <w:pageBreakBefore w:val="0"/>
        <w:kinsoku/>
        <w:wordWrap w:val="0"/>
        <w:topLinePunct w:val="0"/>
        <w:bidi w:val="0"/>
        <w:adjustRightInd w:val="0"/>
        <w:snapToGrid w:val="0"/>
        <w:spacing w:line="288" w:lineRule="auto"/>
        <w:ind w:firstLine="1040"/>
        <w:rPr>
          <w:rFonts w:ascii="Times New Roman" w:hAnsi="Times New Roman" w:eastAsia="仿宋_GB2312"/>
          <w:color w:val="000000" w:themeColor="text1"/>
          <w:sz w:val="36"/>
          <w:szCs w:val="36"/>
          <w14:textFill>
            <w14:solidFill>
              <w14:schemeClr w14:val="tx1"/>
            </w14:solidFill>
          </w14:textFill>
        </w:rPr>
      </w:pPr>
    </w:p>
    <w:p>
      <w:pPr>
        <w:keepLines w:val="0"/>
        <w:pageBreakBefore w:val="0"/>
        <w:kinsoku/>
        <w:wordWrap w:val="0"/>
        <w:topLinePunct w:val="0"/>
        <w:bidi w:val="0"/>
        <w:adjustRightInd w:val="0"/>
        <w:snapToGrid w:val="0"/>
        <w:spacing w:line="288" w:lineRule="auto"/>
        <w:ind w:firstLine="1040"/>
        <w:rPr>
          <w:rFonts w:ascii="Times New Roman" w:hAnsi="Times New Roman" w:eastAsia="仿宋_GB2312"/>
          <w:color w:val="000000" w:themeColor="text1"/>
          <w:sz w:val="36"/>
          <w:szCs w:val="36"/>
          <w14:textFill>
            <w14:solidFill>
              <w14:schemeClr w14:val="tx1"/>
            </w14:solidFill>
          </w14:textFill>
        </w:rPr>
      </w:pPr>
    </w:p>
    <w:p>
      <w:pPr>
        <w:keepLines w:val="0"/>
        <w:pageBreakBefore w:val="0"/>
        <w:kinsoku/>
        <w:wordWrap w:val="0"/>
        <w:topLinePunct w:val="0"/>
        <w:bidi w:val="0"/>
        <w:adjustRightInd w:val="0"/>
        <w:snapToGrid w:val="0"/>
        <w:spacing w:line="288" w:lineRule="auto"/>
        <w:ind w:firstLine="1040"/>
        <w:rPr>
          <w:rFonts w:hint="eastAsia" w:ascii="Times New Roman" w:hAnsi="Times New Roman" w:eastAsia="仿宋_GB2312"/>
          <w:color w:val="000000" w:themeColor="text1"/>
          <w:sz w:val="36"/>
          <w:szCs w:val="36"/>
          <w14:textFill>
            <w14:solidFill>
              <w14:schemeClr w14:val="tx1"/>
            </w14:solidFill>
          </w14:textFill>
        </w:rPr>
      </w:pPr>
    </w:p>
    <w:p>
      <w:pPr>
        <w:keepLines w:val="0"/>
        <w:pageBreakBefore w:val="0"/>
        <w:kinsoku/>
        <w:wordWrap w:val="0"/>
        <w:topLinePunct w:val="0"/>
        <w:bidi w:val="0"/>
        <w:adjustRightInd w:val="0"/>
        <w:snapToGrid w:val="0"/>
        <w:spacing w:line="288" w:lineRule="auto"/>
        <w:ind w:firstLine="1040"/>
        <w:rPr>
          <w:rFonts w:hint="eastAsia" w:ascii="Times New Roman" w:hAnsi="Times New Roman" w:eastAsia="仿宋_GB2312"/>
          <w:color w:val="000000" w:themeColor="text1"/>
          <w:sz w:val="36"/>
          <w:szCs w:val="36"/>
          <w14:textFill>
            <w14:solidFill>
              <w14:schemeClr w14:val="tx1"/>
            </w14:solidFill>
          </w14:textFill>
        </w:rPr>
      </w:pPr>
    </w:p>
    <w:bookmarkEnd w:id="0"/>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14:textFill>
            <w14:solidFill>
              <w14:schemeClr w14:val="tx1"/>
            </w14:solidFill>
          </w14:textFill>
        </w:rPr>
      </w:pP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14:textFill>
            <w14:solidFill>
              <w14:schemeClr w14:val="tx1"/>
            </w14:solidFill>
          </w14:textFill>
        </w:rPr>
      </w:pP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14:textFill>
            <w14:solidFill>
              <w14:schemeClr w14:val="tx1"/>
            </w14:solidFill>
          </w14:textFill>
        </w:rPr>
      </w:pP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lang w:val="en-US" w:eastAsia="zh-CN"/>
          <w14:textFill>
            <w14:solidFill>
              <w14:schemeClr w14:val="tx1"/>
            </w14:solidFill>
          </w14:textFill>
        </w:rPr>
      </w:pPr>
      <w:r>
        <w:rPr>
          <w:rFonts w:hint="eastAsia" w:ascii="Times New Roman" w:hAnsi="Times New Roman" w:eastAsia="楷体_GB2312"/>
          <w:color w:val="000000" w:themeColor="text1"/>
          <w:sz w:val="36"/>
          <w:szCs w:val="36"/>
          <w14:textFill>
            <w14:solidFill>
              <w14:schemeClr w14:val="tx1"/>
            </w14:solidFill>
          </w14:textFill>
        </w:rPr>
        <w:t>中华人民共和国生态环境部</w:t>
      </w:r>
      <w:r>
        <w:rPr>
          <w:rFonts w:hint="eastAsia" w:ascii="Times New Roman" w:hAnsi="Times New Roman" w:eastAsia="楷体_GB2312"/>
          <w:color w:val="000000" w:themeColor="text1"/>
          <w:sz w:val="36"/>
          <w:szCs w:val="36"/>
          <w:lang w:val="en-US" w:eastAsia="zh-CN"/>
          <w14:textFill>
            <w14:solidFill>
              <w14:schemeClr w14:val="tx1"/>
            </w14:solidFill>
          </w14:textFill>
        </w:rPr>
        <w:t>制</w:t>
      </w: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lang w:val="en-US" w:eastAsia="zh-CN"/>
          <w14:textFill>
            <w14:solidFill>
              <w14:schemeClr w14:val="tx1"/>
            </w14:solidFill>
          </w14:textFill>
        </w:rPr>
      </w:pP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lang w:val="en-US" w:eastAsia="zh-CN"/>
          <w14:textFill>
            <w14:solidFill>
              <w14:schemeClr w14:val="tx1"/>
            </w14:solidFill>
          </w14:textFill>
        </w:rPr>
      </w:pP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lang w:val="en-US" w:eastAsia="zh-CN"/>
          <w14:textFill>
            <w14:solidFill>
              <w14:schemeClr w14:val="tx1"/>
            </w14:solidFill>
          </w14:textFill>
        </w:rPr>
      </w:pPr>
      <w:r>
        <w:drawing>
          <wp:inline distT="0" distB="0" distL="114300" distR="114300">
            <wp:extent cx="5988685" cy="8002270"/>
            <wp:effectExtent l="0" t="0" r="635" b="13970"/>
            <wp:docPr id="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2"/>
                    <pic:cNvPicPr>
                      <a:picLocks noChangeAspect="1"/>
                    </pic:cNvPicPr>
                  </pic:nvPicPr>
                  <pic:blipFill>
                    <a:blip r:embed="rId8"/>
                    <a:stretch>
                      <a:fillRect/>
                    </a:stretch>
                  </pic:blipFill>
                  <pic:spPr>
                    <a:xfrm>
                      <a:off x="0" y="0"/>
                      <a:ext cx="5988685" cy="8002270"/>
                    </a:xfrm>
                    <a:prstGeom prst="rect">
                      <a:avLst/>
                    </a:prstGeom>
                    <a:noFill/>
                    <a:ln>
                      <a:noFill/>
                    </a:ln>
                  </pic:spPr>
                </pic:pic>
              </a:graphicData>
            </a:graphic>
          </wp:inline>
        </w:drawing>
      </w: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lang w:val="en-US" w:eastAsia="zh-CN"/>
          <w14:textFill>
            <w14:solidFill>
              <w14:schemeClr w14:val="tx1"/>
            </w14:solidFill>
          </w14:textFill>
        </w:rPr>
      </w:pPr>
      <w:r>
        <w:drawing>
          <wp:inline distT="0" distB="0" distL="114300" distR="114300">
            <wp:extent cx="5615940" cy="8263890"/>
            <wp:effectExtent l="0" t="0" r="7620" b="11430"/>
            <wp:docPr id="8"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pic:cNvPicPr>
                      <a:picLocks noChangeAspect="1"/>
                    </pic:cNvPicPr>
                  </pic:nvPicPr>
                  <pic:blipFill>
                    <a:blip r:embed="rId9"/>
                    <a:stretch>
                      <a:fillRect/>
                    </a:stretch>
                  </pic:blipFill>
                  <pic:spPr>
                    <a:xfrm>
                      <a:off x="0" y="0"/>
                      <a:ext cx="5615940" cy="8263890"/>
                    </a:xfrm>
                    <a:prstGeom prst="rect">
                      <a:avLst/>
                    </a:prstGeom>
                    <a:noFill/>
                    <a:ln>
                      <a:noFill/>
                    </a:ln>
                  </pic:spPr>
                </pic:pic>
              </a:graphicData>
            </a:graphic>
          </wp:inline>
        </w:drawing>
      </w: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lang w:val="en-US" w:eastAsia="zh-CN"/>
          <w14:textFill>
            <w14:solidFill>
              <w14:schemeClr w14:val="tx1"/>
            </w14:solidFill>
          </w14:textFill>
        </w:rPr>
      </w:pPr>
      <w:r>
        <w:drawing>
          <wp:inline distT="0" distB="0" distL="114300" distR="114300">
            <wp:extent cx="5379720" cy="7723505"/>
            <wp:effectExtent l="0" t="0" r="0" b="3175"/>
            <wp:docPr id="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4"/>
                    <pic:cNvPicPr>
                      <a:picLocks noChangeAspect="1"/>
                    </pic:cNvPicPr>
                  </pic:nvPicPr>
                  <pic:blipFill>
                    <a:blip r:embed="rId10"/>
                    <a:stretch>
                      <a:fillRect/>
                    </a:stretch>
                  </pic:blipFill>
                  <pic:spPr>
                    <a:xfrm>
                      <a:off x="0" y="0"/>
                      <a:ext cx="5379720" cy="7723505"/>
                    </a:xfrm>
                    <a:prstGeom prst="rect">
                      <a:avLst/>
                    </a:prstGeom>
                    <a:noFill/>
                    <a:ln>
                      <a:noFill/>
                    </a:ln>
                  </pic:spPr>
                </pic:pic>
              </a:graphicData>
            </a:graphic>
          </wp:inline>
        </w:drawing>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eastAsia" w:ascii="Times New Roman" w:hAnsi="Times New Roman" w:eastAsia="楷体_GB2312"/>
          <w:color w:val="000000" w:themeColor="text1"/>
          <w:sz w:val="36"/>
          <w:szCs w:val="36"/>
          <w:lang w:val="en-US" w:eastAsia="zh-CN"/>
          <w14:textFill>
            <w14:solidFill>
              <w14:schemeClr w14:val="tx1"/>
            </w14:solidFill>
          </w14:textFill>
        </w:rPr>
      </w:pPr>
      <w:r>
        <w:drawing>
          <wp:inline distT="0" distB="0" distL="114300" distR="114300">
            <wp:extent cx="5830570" cy="7658100"/>
            <wp:effectExtent l="0" t="0" r="6350" b="762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1"/>
                    <pic:cNvPicPr>
                      <a:picLocks noChangeAspect="1"/>
                    </pic:cNvPicPr>
                  </pic:nvPicPr>
                  <pic:blipFill>
                    <a:blip r:embed="rId11"/>
                    <a:stretch>
                      <a:fillRect/>
                    </a:stretch>
                  </pic:blipFill>
                  <pic:spPr>
                    <a:xfrm>
                      <a:off x="0" y="0"/>
                      <a:ext cx="5830570" cy="7658100"/>
                    </a:xfrm>
                    <a:prstGeom prst="rect">
                      <a:avLst/>
                    </a:prstGeom>
                    <a:noFill/>
                    <a:ln>
                      <a:noFill/>
                    </a:ln>
                  </pic:spPr>
                </pic:pic>
              </a:graphicData>
            </a:graphic>
          </wp:inline>
        </w:drawing>
      </w:r>
    </w:p>
    <w:p>
      <w:pPr>
        <w:keepLines w:val="0"/>
        <w:pageBreakBefore w:val="0"/>
        <w:kinsoku/>
        <w:wordWrap w:val="0"/>
        <w:topLinePunct w:val="0"/>
        <w:bidi w:val="0"/>
        <w:adjustRightInd w:val="0"/>
        <w:snapToGrid w:val="0"/>
        <w:spacing w:line="288" w:lineRule="auto"/>
        <w:jc w:val="center"/>
        <w:rPr>
          <w:rFonts w:hint="eastAsia" w:ascii="Times New Roman" w:hAnsi="Times New Roman" w:eastAsia="楷体_GB2312"/>
          <w:color w:val="000000" w:themeColor="text1"/>
          <w:sz w:val="36"/>
          <w:szCs w:val="36"/>
          <w:lang w:val="en-US" w:eastAsia="zh-CN"/>
          <w14:textFill>
            <w14:solidFill>
              <w14:schemeClr w14:val="tx1"/>
            </w14:solidFill>
          </w14:textFill>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bookmarkStart w:id="11" w:name="_GoBack"/>
      <w:bookmarkEnd w:id="11"/>
    </w:p>
    <w:p>
      <w:pPr>
        <w:pStyle w:val="15"/>
        <w:keepLines w:val="0"/>
        <w:pageBreakBefore w:val="0"/>
        <w:kinsoku/>
        <w:wordWrap w:val="0"/>
        <w:topLinePunct w:val="0"/>
        <w:bidi w:val="0"/>
        <w:jc w:val="center"/>
        <w:outlineLvl w:val="0"/>
        <w:rPr>
          <w:rFonts w:hint="eastAsia"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一、建设项目基本情况</w:t>
      </w:r>
    </w:p>
    <w:tbl>
      <w:tblPr>
        <w:tblStyle w:val="18"/>
        <w:tblW w:w="954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94"/>
        <w:gridCol w:w="1450"/>
        <w:gridCol w:w="1975"/>
        <w:gridCol w:w="2212"/>
        <w:gridCol w:w="3317"/>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建设项目名称</w:t>
            </w:r>
          </w:p>
        </w:tc>
        <w:tc>
          <w:tcPr>
            <w:tcW w:w="7504" w:type="dxa"/>
            <w:gridSpan w:val="3"/>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危险废物综合收储</w:t>
            </w:r>
            <w:r>
              <w:rPr>
                <w:rFonts w:hint="eastAsia" w:ascii="Times New Roman" w:hAnsi="Times New Roman"/>
                <w:color w:val="000000" w:themeColor="text1"/>
                <w:spacing w:val="0"/>
                <w:sz w:val="24"/>
                <w14:textFill>
                  <w14:solidFill>
                    <w14:schemeClr w14:val="tx1"/>
                  </w14:solidFill>
                </w14:textFill>
              </w:rPr>
              <w:t>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项目代码</w:t>
            </w:r>
          </w:p>
        </w:tc>
        <w:tc>
          <w:tcPr>
            <w:tcW w:w="7504" w:type="dxa"/>
            <w:gridSpan w:val="3"/>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2308-411025-04-01-824412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建设单位联系人</w:t>
            </w:r>
          </w:p>
        </w:tc>
        <w:tc>
          <w:tcPr>
            <w:tcW w:w="1975" w:type="dxa"/>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何继续</w:t>
            </w:r>
          </w:p>
        </w:tc>
        <w:tc>
          <w:tcPr>
            <w:tcW w:w="2212"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联系方式</w:t>
            </w:r>
          </w:p>
        </w:tc>
        <w:tc>
          <w:tcPr>
            <w:tcW w:w="3317" w:type="dxa"/>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19233909999</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建设地点</w:t>
            </w:r>
          </w:p>
        </w:tc>
        <w:tc>
          <w:tcPr>
            <w:tcW w:w="7504" w:type="dxa"/>
            <w:gridSpan w:val="3"/>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u w:val="single"/>
                <w14:textFill>
                  <w14:solidFill>
                    <w14:schemeClr w14:val="tx1"/>
                  </w14:solidFill>
                </w14:textFill>
              </w:rPr>
              <w:t xml:space="preserve"> 河南 </w:t>
            </w:r>
            <w:r>
              <w:rPr>
                <w:rFonts w:ascii="Times New Roman" w:hAnsi="Times New Roman"/>
                <w:color w:val="000000" w:themeColor="text1"/>
                <w:spacing w:val="0"/>
                <w:sz w:val="24"/>
                <w14:textFill>
                  <w14:solidFill>
                    <w14:schemeClr w14:val="tx1"/>
                  </w14:solidFill>
                </w14:textFill>
              </w:rPr>
              <w:t>省</w:t>
            </w:r>
            <w:r>
              <w:rPr>
                <w:rFonts w:ascii="Times New Roman" w:hAnsi="Times New Roman"/>
                <w:color w:val="000000" w:themeColor="text1"/>
                <w:spacing w:val="0"/>
                <w:sz w:val="24"/>
                <w:u w:val="single"/>
                <w14:textFill>
                  <w14:solidFill>
                    <w14:schemeClr w14:val="tx1"/>
                  </w14:solidFill>
                </w14:textFill>
              </w:rPr>
              <w:t xml:space="preserve"> 许昌 </w:t>
            </w:r>
            <w:r>
              <w:rPr>
                <w:rFonts w:ascii="Times New Roman" w:hAnsi="Times New Roman"/>
                <w:color w:val="000000" w:themeColor="text1"/>
                <w:spacing w:val="0"/>
                <w:sz w:val="24"/>
                <w14:textFill>
                  <w14:solidFill>
                    <w14:schemeClr w14:val="tx1"/>
                  </w14:solidFill>
                </w14:textFill>
              </w:rPr>
              <w:t>市</w:t>
            </w:r>
            <w:r>
              <w:rPr>
                <w:rFonts w:ascii="Times New Roman" w:hAnsi="Times New Roman"/>
                <w:color w:val="000000" w:themeColor="text1"/>
                <w:spacing w:val="0"/>
                <w:sz w:val="24"/>
                <w:u w:val="single"/>
                <w14:textFill>
                  <w14:solidFill>
                    <w14:schemeClr w14:val="tx1"/>
                  </w14:solidFill>
                </w14:textFill>
              </w:rPr>
              <w:t xml:space="preserve"> </w:t>
            </w:r>
            <w:r>
              <w:rPr>
                <w:rFonts w:hint="eastAsia" w:ascii="Times New Roman" w:hAnsi="Times New Roman"/>
                <w:color w:val="000000" w:themeColor="text1"/>
                <w:spacing w:val="0"/>
                <w:sz w:val="24"/>
                <w:u w:val="single"/>
                <w:lang w:val="en-US" w:eastAsia="zh-CN"/>
                <w14:textFill>
                  <w14:solidFill>
                    <w14:schemeClr w14:val="tx1"/>
                  </w14:solidFill>
                </w14:textFill>
              </w:rPr>
              <w:t>襄城县先进制造业开发区南区黄洋工业区</w:t>
            </w:r>
            <w:r>
              <w:rPr>
                <w:rFonts w:ascii="Times New Roman" w:hAnsi="Times New Roman"/>
                <w:color w:val="000000" w:themeColor="text1"/>
                <w:spacing w:val="0"/>
                <w:sz w:val="24"/>
                <w:u w:val="single"/>
                <w14:textFill>
                  <w14:solidFill>
                    <w14:schemeClr w14:val="tx1"/>
                  </w14:solidFill>
                </w14:textFill>
              </w:rPr>
              <w:t xml:space="preserve">  </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地理坐标</w:t>
            </w:r>
          </w:p>
        </w:tc>
        <w:tc>
          <w:tcPr>
            <w:tcW w:w="7504" w:type="dxa"/>
            <w:gridSpan w:val="3"/>
            <w:noWrap w:val="0"/>
            <w:vAlign w:val="center"/>
          </w:tcPr>
          <w:p>
            <w:pPr>
              <w:keepLines w:val="0"/>
              <w:pageBreakBefore w:val="0"/>
              <w:kinsoku/>
              <w:wordWrap w:val="0"/>
              <w:topLinePunct w:val="0"/>
              <w:bidi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w:t>
            </w:r>
            <w:r>
              <w:rPr>
                <w:rFonts w:ascii="Times New Roman" w:hAnsi="Times New Roman"/>
                <w:color w:val="000000" w:themeColor="text1"/>
                <w:spacing w:val="0"/>
                <w:sz w:val="24"/>
                <w:u w:val="single"/>
                <w14:textFill>
                  <w14:solidFill>
                    <w14:schemeClr w14:val="tx1"/>
                  </w14:solidFill>
                </w14:textFill>
              </w:rPr>
              <w:t xml:space="preserve"> 113 </w:t>
            </w:r>
            <w:r>
              <w:rPr>
                <w:rFonts w:ascii="Times New Roman" w:hAnsi="Times New Roman"/>
                <w:color w:val="000000" w:themeColor="text1"/>
                <w:spacing w:val="0"/>
                <w:sz w:val="24"/>
                <w14:textFill>
                  <w14:solidFill>
                    <w14:schemeClr w14:val="tx1"/>
                  </w14:solidFill>
                </w14:textFill>
              </w:rPr>
              <w:t>度</w:t>
            </w:r>
            <w:r>
              <w:rPr>
                <w:rFonts w:ascii="Times New Roman" w:hAnsi="Times New Roman"/>
                <w:color w:val="000000" w:themeColor="text1"/>
                <w:spacing w:val="0"/>
                <w:sz w:val="24"/>
                <w:u w:val="single"/>
                <w14:textFill>
                  <w14:solidFill>
                    <w14:schemeClr w14:val="tx1"/>
                  </w14:solidFill>
                </w14:textFill>
              </w:rPr>
              <w:t xml:space="preserve"> 2</w:t>
            </w:r>
            <w:r>
              <w:rPr>
                <w:rFonts w:hint="eastAsia" w:ascii="Times New Roman" w:hAnsi="Times New Roman"/>
                <w:color w:val="000000" w:themeColor="text1"/>
                <w:spacing w:val="0"/>
                <w:sz w:val="24"/>
                <w:u w:val="single"/>
                <w:lang w:val="en-US" w:eastAsia="zh-CN"/>
                <w14:textFill>
                  <w14:solidFill>
                    <w14:schemeClr w14:val="tx1"/>
                  </w14:solidFill>
                </w14:textFill>
              </w:rPr>
              <w:t>6</w:t>
            </w:r>
            <w:r>
              <w:rPr>
                <w:rFonts w:ascii="Times New Roman" w:hAnsi="Times New Roman"/>
                <w:color w:val="000000" w:themeColor="text1"/>
                <w:spacing w:val="0"/>
                <w:sz w:val="24"/>
                <w:u w:val="single"/>
                <w14:textFill>
                  <w14:solidFill>
                    <w14:schemeClr w14:val="tx1"/>
                  </w14:solidFill>
                </w14:textFill>
              </w:rPr>
              <w:t xml:space="preserve"> </w:t>
            </w:r>
            <w:r>
              <w:rPr>
                <w:rFonts w:ascii="Times New Roman" w:hAnsi="Times New Roman"/>
                <w:color w:val="000000" w:themeColor="text1"/>
                <w:spacing w:val="0"/>
                <w:sz w:val="24"/>
                <w14:textFill>
                  <w14:solidFill>
                    <w14:schemeClr w14:val="tx1"/>
                  </w14:solidFill>
                </w14:textFill>
              </w:rPr>
              <w:t>分</w:t>
            </w:r>
            <w:r>
              <w:rPr>
                <w:rFonts w:ascii="Times New Roman" w:hAnsi="Times New Roman"/>
                <w:color w:val="000000" w:themeColor="text1"/>
                <w:spacing w:val="0"/>
                <w:sz w:val="24"/>
                <w:u w:val="single"/>
                <w14:textFill>
                  <w14:solidFill>
                    <w14:schemeClr w14:val="tx1"/>
                  </w14:solidFill>
                </w14:textFill>
              </w:rPr>
              <w:t xml:space="preserve"> </w:t>
            </w:r>
            <w:r>
              <w:rPr>
                <w:rFonts w:hint="eastAsia" w:ascii="Times New Roman" w:hAnsi="Times New Roman"/>
                <w:color w:val="000000" w:themeColor="text1"/>
                <w:spacing w:val="0"/>
                <w:sz w:val="24"/>
                <w:u w:val="single"/>
                <w:lang w:val="en-US" w:eastAsia="zh-CN"/>
                <w14:textFill>
                  <w14:solidFill>
                    <w14:schemeClr w14:val="tx1"/>
                  </w14:solidFill>
                </w14:textFill>
              </w:rPr>
              <w:t>55.64</w:t>
            </w:r>
            <w:r>
              <w:rPr>
                <w:rFonts w:ascii="Times New Roman" w:hAnsi="Times New Roman"/>
                <w:color w:val="000000" w:themeColor="text1"/>
                <w:spacing w:val="0"/>
                <w:sz w:val="24"/>
                <w:u w:val="single"/>
                <w14:textFill>
                  <w14:solidFill>
                    <w14:schemeClr w14:val="tx1"/>
                  </w14:solidFill>
                </w14:textFill>
              </w:rPr>
              <w:t xml:space="preserve"> </w:t>
            </w:r>
            <w:r>
              <w:rPr>
                <w:rFonts w:ascii="Times New Roman" w:hAnsi="Times New Roman"/>
                <w:color w:val="000000" w:themeColor="text1"/>
                <w:spacing w:val="0"/>
                <w:sz w:val="24"/>
                <w14:textFill>
                  <w14:solidFill>
                    <w14:schemeClr w14:val="tx1"/>
                  </w14:solidFill>
                </w14:textFill>
              </w:rPr>
              <w:t>秒，</w:t>
            </w:r>
            <w:r>
              <w:rPr>
                <w:rFonts w:ascii="Times New Roman" w:hAnsi="Times New Roman"/>
                <w:color w:val="000000" w:themeColor="text1"/>
                <w:spacing w:val="0"/>
                <w:sz w:val="24"/>
                <w:u w:val="single"/>
                <w14:textFill>
                  <w14:solidFill>
                    <w14:schemeClr w14:val="tx1"/>
                  </w14:solidFill>
                </w14:textFill>
              </w:rPr>
              <w:t xml:space="preserve"> 33 </w:t>
            </w:r>
            <w:r>
              <w:rPr>
                <w:rFonts w:ascii="Times New Roman" w:hAnsi="Times New Roman"/>
                <w:color w:val="000000" w:themeColor="text1"/>
                <w:spacing w:val="0"/>
                <w:sz w:val="24"/>
                <w14:textFill>
                  <w14:solidFill>
                    <w14:schemeClr w14:val="tx1"/>
                  </w14:solidFill>
                </w14:textFill>
              </w:rPr>
              <w:t>度</w:t>
            </w:r>
            <w:r>
              <w:rPr>
                <w:rFonts w:ascii="Times New Roman" w:hAnsi="Times New Roman"/>
                <w:color w:val="000000" w:themeColor="text1"/>
                <w:spacing w:val="0"/>
                <w:sz w:val="24"/>
                <w:u w:val="single"/>
                <w14:textFill>
                  <w14:solidFill>
                    <w14:schemeClr w14:val="tx1"/>
                  </w14:solidFill>
                </w14:textFill>
              </w:rPr>
              <w:t xml:space="preserve"> </w:t>
            </w:r>
            <w:r>
              <w:rPr>
                <w:rFonts w:hint="eastAsia" w:ascii="Times New Roman" w:hAnsi="Times New Roman"/>
                <w:color w:val="000000" w:themeColor="text1"/>
                <w:spacing w:val="0"/>
                <w:sz w:val="24"/>
                <w:u w:val="single"/>
                <w:lang w:val="en-US" w:eastAsia="zh-CN"/>
                <w14:textFill>
                  <w14:solidFill>
                    <w14:schemeClr w14:val="tx1"/>
                  </w14:solidFill>
                </w14:textFill>
              </w:rPr>
              <w:t>47</w:t>
            </w:r>
            <w:r>
              <w:rPr>
                <w:rFonts w:ascii="Times New Roman" w:hAnsi="Times New Roman"/>
                <w:color w:val="000000" w:themeColor="text1"/>
                <w:spacing w:val="0"/>
                <w:sz w:val="24"/>
                <w:u w:val="single"/>
                <w14:textFill>
                  <w14:solidFill>
                    <w14:schemeClr w14:val="tx1"/>
                  </w14:solidFill>
                </w14:textFill>
              </w:rPr>
              <w:t xml:space="preserve"> </w:t>
            </w:r>
            <w:r>
              <w:rPr>
                <w:rFonts w:ascii="Times New Roman" w:hAnsi="Times New Roman"/>
                <w:color w:val="000000" w:themeColor="text1"/>
                <w:spacing w:val="0"/>
                <w:sz w:val="24"/>
                <w14:textFill>
                  <w14:solidFill>
                    <w14:schemeClr w14:val="tx1"/>
                  </w14:solidFill>
                </w14:textFill>
              </w:rPr>
              <w:t>分</w:t>
            </w:r>
            <w:r>
              <w:rPr>
                <w:rFonts w:ascii="Times New Roman" w:hAnsi="Times New Roman"/>
                <w:color w:val="000000" w:themeColor="text1"/>
                <w:spacing w:val="0"/>
                <w:sz w:val="24"/>
                <w:u w:val="single"/>
                <w14:textFill>
                  <w14:solidFill>
                    <w14:schemeClr w14:val="tx1"/>
                  </w14:solidFill>
                </w14:textFill>
              </w:rPr>
              <w:t xml:space="preserve"> </w:t>
            </w:r>
            <w:r>
              <w:rPr>
                <w:rFonts w:hint="eastAsia" w:ascii="Times New Roman" w:hAnsi="Times New Roman"/>
                <w:color w:val="000000" w:themeColor="text1"/>
                <w:spacing w:val="0"/>
                <w:sz w:val="24"/>
                <w:u w:val="single"/>
                <w:lang w:val="en-US" w:eastAsia="zh-CN"/>
                <w14:textFill>
                  <w14:solidFill>
                    <w14:schemeClr w14:val="tx1"/>
                  </w14:solidFill>
                </w14:textFill>
              </w:rPr>
              <w:t>16.15</w:t>
            </w:r>
            <w:r>
              <w:rPr>
                <w:rFonts w:ascii="Times New Roman" w:hAnsi="Times New Roman"/>
                <w:color w:val="000000" w:themeColor="text1"/>
                <w:spacing w:val="0"/>
                <w:sz w:val="24"/>
                <w:u w:val="single"/>
                <w14:textFill>
                  <w14:solidFill>
                    <w14:schemeClr w14:val="tx1"/>
                  </w14:solidFill>
                </w14:textFill>
              </w:rPr>
              <w:t xml:space="preserve"> </w:t>
            </w:r>
            <w:r>
              <w:rPr>
                <w:rFonts w:ascii="Times New Roman" w:hAnsi="Times New Roman"/>
                <w:color w:val="000000" w:themeColor="text1"/>
                <w:spacing w:val="0"/>
                <w:sz w:val="24"/>
                <w14:textFill>
                  <w14:solidFill>
                    <w14:schemeClr w14:val="tx1"/>
                  </w14:solidFill>
                </w14:textFill>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国民经济</w:t>
            </w:r>
          </w:p>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行业类别</w:t>
            </w:r>
          </w:p>
        </w:tc>
        <w:tc>
          <w:tcPr>
            <w:tcW w:w="1975" w:type="dxa"/>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N7724 危险废物治理</w:t>
            </w:r>
          </w:p>
        </w:tc>
        <w:tc>
          <w:tcPr>
            <w:tcW w:w="2212"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bookmarkStart w:id="1" w:name="_Hlk49843745"/>
            <w:r>
              <w:rPr>
                <w:rFonts w:ascii="Times New Roman" w:hAnsi="Times New Roman"/>
                <w:color w:val="000000" w:themeColor="text1"/>
                <w:spacing w:val="0"/>
                <w:sz w:val="24"/>
                <w14:textFill>
                  <w14:solidFill>
                    <w14:schemeClr w14:val="tx1"/>
                  </w14:solidFill>
                </w14:textFill>
              </w:rPr>
              <w:t>建设项目</w:t>
            </w:r>
          </w:p>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行业类别</w:t>
            </w:r>
            <w:bookmarkEnd w:id="1"/>
          </w:p>
        </w:tc>
        <w:tc>
          <w:tcPr>
            <w:tcW w:w="3317" w:type="dxa"/>
            <w:noWrap w:val="0"/>
            <w:vAlign w:val="center"/>
          </w:tcPr>
          <w:p>
            <w:pPr>
              <w:keepLines w:val="0"/>
              <w:pageBreakBefore w:val="0"/>
              <w:kinsoku/>
              <w:wordWrap w:val="0"/>
              <w:topLinePunct w:val="0"/>
              <w:bidi w:val="0"/>
              <w:adjustRightInd w:val="0"/>
              <w:snapToGrid w:val="0"/>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101、危险废物（不含医疗废物）利用及处置中“其他”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219"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建设性质</w:t>
            </w:r>
          </w:p>
        </w:tc>
        <w:tc>
          <w:tcPr>
            <w:tcW w:w="1975" w:type="dxa"/>
            <w:noWrap w:val="0"/>
            <w:vAlign w:val="center"/>
          </w:tcPr>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sym w:font="Wingdings 2" w:char="F052"/>
            </w:r>
            <w:r>
              <w:rPr>
                <w:rFonts w:ascii="Times New Roman" w:hAnsi="Times New Roman"/>
                <w:color w:val="000000" w:themeColor="text1"/>
                <w:spacing w:val="0"/>
                <w:sz w:val="24"/>
                <w14:textFill>
                  <w14:solidFill>
                    <w14:schemeClr w14:val="tx1"/>
                  </w14:solidFill>
                </w14:textFill>
              </w:rPr>
              <w:t>新建（迁建）</w:t>
            </w:r>
          </w:p>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□改建</w:t>
            </w:r>
          </w:p>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□扩建</w:t>
            </w:r>
          </w:p>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□技术改造</w:t>
            </w:r>
          </w:p>
        </w:tc>
        <w:tc>
          <w:tcPr>
            <w:tcW w:w="2212"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建设项目</w:t>
            </w:r>
          </w:p>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申报情形</w:t>
            </w:r>
          </w:p>
        </w:tc>
        <w:tc>
          <w:tcPr>
            <w:tcW w:w="3317" w:type="dxa"/>
            <w:noWrap w:val="0"/>
            <w:vAlign w:val="center"/>
          </w:tcPr>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sym w:font="Wingdings 2" w:char="0052"/>
            </w:r>
            <w:r>
              <w:rPr>
                <w:rFonts w:ascii="Times New Roman" w:hAnsi="Times New Roman"/>
                <w:color w:val="000000" w:themeColor="text1"/>
                <w:spacing w:val="0"/>
                <w:sz w:val="24"/>
                <w14:textFill>
                  <w14:solidFill>
                    <w14:schemeClr w14:val="tx1"/>
                  </w14:solidFill>
                </w14:textFill>
              </w:rPr>
              <w:t xml:space="preserve">首次申报项目             </w:t>
            </w:r>
          </w:p>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□不予批准后再次申报项目</w:t>
            </w:r>
          </w:p>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 xml:space="preserve">□超五年重新审核项目     </w:t>
            </w:r>
          </w:p>
          <w:p>
            <w:pPr>
              <w:keepLines w:val="0"/>
              <w:pageBreakBefore w:val="0"/>
              <w:kinsoku/>
              <w:wordWrap w:val="0"/>
              <w:topLinePunct w:val="0"/>
              <w:bidi w:val="0"/>
              <w:jc w:val="left"/>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51"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项目审批（核准/</w:t>
            </w:r>
          </w:p>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备案）部门（选填）</w:t>
            </w:r>
          </w:p>
        </w:tc>
        <w:tc>
          <w:tcPr>
            <w:tcW w:w="1975" w:type="dxa"/>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ascii="Times New Roman" w:hAnsi="Times New Roman"/>
                <w:color w:val="000000" w:themeColor="text1"/>
                <w:spacing w:val="0"/>
                <w:sz w:val="24"/>
                <w14:textFill>
                  <w14:solidFill>
                    <w14:schemeClr w14:val="tx1"/>
                  </w14:solidFill>
                </w14:textFill>
              </w:rPr>
              <w:t>襄城县</w:t>
            </w:r>
            <w:r>
              <w:rPr>
                <w:rFonts w:hint="eastAsia" w:ascii="Times New Roman" w:hAnsi="Times New Roman"/>
                <w:color w:val="000000" w:themeColor="text1"/>
                <w:spacing w:val="0"/>
                <w:sz w:val="24"/>
                <w:lang w:val="en-US" w:eastAsia="zh-CN"/>
                <w14:textFill>
                  <w14:solidFill>
                    <w14:schemeClr w14:val="tx1"/>
                  </w14:solidFill>
                </w14:textFill>
              </w:rPr>
              <w:t>循环经济产业集聚区管理委员会</w:t>
            </w:r>
          </w:p>
        </w:tc>
        <w:tc>
          <w:tcPr>
            <w:tcW w:w="2212"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项目审批（核准/</w:t>
            </w:r>
          </w:p>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备案）文号（选填）</w:t>
            </w:r>
          </w:p>
        </w:tc>
        <w:tc>
          <w:tcPr>
            <w:tcW w:w="3317"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2308-411025-04-01-824412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总投资（万元）</w:t>
            </w:r>
          </w:p>
        </w:tc>
        <w:tc>
          <w:tcPr>
            <w:tcW w:w="1975"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4</w:t>
            </w:r>
            <w:r>
              <w:rPr>
                <w:rFonts w:ascii="Times New Roman" w:hAnsi="Times New Roman"/>
                <w:color w:val="000000" w:themeColor="text1"/>
                <w:spacing w:val="0"/>
                <w:sz w:val="24"/>
                <w14:textFill>
                  <w14:solidFill>
                    <w14:schemeClr w14:val="tx1"/>
                  </w14:solidFill>
                </w14:textFill>
              </w:rPr>
              <w:t>000</w:t>
            </w:r>
          </w:p>
        </w:tc>
        <w:tc>
          <w:tcPr>
            <w:tcW w:w="2212" w:type="dxa"/>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环保投资（万元）</w:t>
            </w:r>
          </w:p>
        </w:tc>
        <w:tc>
          <w:tcPr>
            <w:tcW w:w="3317" w:type="dxa"/>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color w:val="000000" w:themeColor="text1"/>
                <w:spacing w:val="0"/>
                <w:sz w:val="24"/>
                <w:lang w:val="en-US" w:eastAsia="zh-CN"/>
                <w14:textFill>
                  <w14:solidFill>
                    <w14:schemeClr w14:val="tx1"/>
                  </w14:solidFill>
                </w14:textFill>
              </w:rPr>
              <w:t>80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环保投资占比（%）</w:t>
            </w:r>
          </w:p>
        </w:tc>
        <w:tc>
          <w:tcPr>
            <w:tcW w:w="1975" w:type="dxa"/>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sz w:val="24"/>
                <w:lang w:val="en-US" w:eastAsia="zh-CN"/>
                <w14:textFill>
                  <w14:solidFill>
                    <w14:schemeClr w14:val="tx1"/>
                  </w14:solidFill>
                </w14:textFill>
              </w:rPr>
            </w:pPr>
            <w:r>
              <w:rPr>
                <w:rFonts w:hint="eastAsia"/>
                <w:color w:val="000000" w:themeColor="text1"/>
                <w:spacing w:val="0"/>
                <w:sz w:val="24"/>
                <w:lang w:val="en-US" w:eastAsia="zh-CN"/>
                <w14:textFill>
                  <w14:solidFill>
                    <w14:schemeClr w14:val="tx1"/>
                  </w14:solidFill>
                </w14:textFill>
              </w:rPr>
              <w:t>2</w:t>
            </w:r>
          </w:p>
        </w:tc>
        <w:tc>
          <w:tcPr>
            <w:tcW w:w="2212" w:type="dxa"/>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施工工期</w:t>
            </w:r>
          </w:p>
        </w:tc>
        <w:tc>
          <w:tcPr>
            <w:tcW w:w="3317"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hint="eastAsia" w:ascii="Times New Roman" w:hAnsi="Times New Roman"/>
                <w:color w:val="000000" w:themeColor="text1"/>
                <w:spacing w:val="0"/>
                <w:sz w:val="24"/>
                <w:lang w:val="en-US" w:eastAsia="zh-CN"/>
                <w14:textFill>
                  <w14:solidFill>
                    <w14:schemeClr w14:val="tx1"/>
                  </w14:solidFill>
                </w14:textFill>
              </w:rPr>
              <w:t>4个</w:t>
            </w:r>
            <w:r>
              <w:rPr>
                <w:rFonts w:ascii="Times New Roman" w:hAnsi="Times New Roman"/>
                <w:color w:val="000000" w:themeColor="text1"/>
                <w:spacing w:val="0"/>
                <w:sz w:val="24"/>
                <w14:textFill>
                  <w14:solidFill>
                    <w14:schemeClr w14:val="tx1"/>
                  </w14:solidFill>
                </w14:textFill>
              </w:rPr>
              <w:t>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jc w:val="center"/>
        </w:trPr>
        <w:tc>
          <w:tcPr>
            <w:tcW w:w="2044" w:type="dxa"/>
            <w:gridSpan w:val="2"/>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是否开工建设</w:t>
            </w:r>
          </w:p>
        </w:tc>
        <w:tc>
          <w:tcPr>
            <w:tcW w:w="1975" w:type="dxa"/>
            <w:noWrap w:val="0"/>
            <w:vAlign w:val="center"/>
          </w:tcPr>
          <w:p>
            <w:pPr>
              <w:keepLines w:val="0"/>
              <w:pageBreakBefore w:val="0"/>
              <w:kinsoku/>
              <w:wordWrap w:val="0"/>
              <w:topLinePunct w:val="0"/>
              <w:bidi w:val="0"/>
              <w:adjustRightInd w:val="0"/>
              <w:snapToGrid w:val="0"/>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sym w:font="Wingdings 2" w:char="0052"/>
            </w:r>
            <w:r>
              <w:rPr>
                <w:rFonts w:ascii="Times New Roman" w:hAnsi="Times New Roman"/>
                <w:color w:val="000000" w:themeColor="text1"/>
                <w:spacing w:val="0"/>
                <w:sz w:val="24"/>
                <w14:textFill>
                  <w14:solidFill>
                    <w14:schemeClr w14:val="tx1"/>
                  </w14:solidFill>
                </w14:textFill>
              </w:rPr>
              <w:t>否</w:t>
            </w:r>
          </w:p>
          <w:p>
            <w:pPr>
              <w:keepLines w:val="0"/>
              <w:pageBreakBefore w:val="0"/>
              <w:kinsoku/>
              <w:wordWrap w:val="0"/>
              <w:topLinePunct w:val="0"/>
              <w:bidi w:val="0"/>
              <w:adjustRightInd w:val="0"/>
              <w:snapToGrid w:val="0"/>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sym w:font="Wingdings 2" w:char="00A3"/>
            </w:r>
            <w:r>
              <w:rPr>
                <w:rFonts w:ascii="Times New Roman" w:hAnsi="Times New Roman"/>
                <w:color w:val="000000" w:themeColor="text1"/>
                <w:spacing w:val="0"/>
                <w:sz w:val="24"/>
                <w14:textFill>
                  <w14:solidFill>
                    <w14:schemeClr w14:val="tx1"/>
                  </w14:solidFill>
                </w14:textFill>
              </w:rPr>
              <w:t>是：</w:t>
            </w:r>
            <w:r>
              <w:rPr>
                <w:rFonts w:ascii="Times New Roman" w:hAnsi="Times New Roman"/>
                <w:color w:val="000000" w:themeColor="text1"/>
                <w:spacing w:val="0"/>
                <w:sz w:val="24"/>
                <w:u w:val="single"/>
                <w14:textFill>
                  <w14:solidFill>
                    <w14:schemeClr w14:val="tx1"/>
                  </w14:solidFill>
                </w14:textFill>
              </w:rPr>
              <w:t xml:space="preserve">        </w:t>
            </w:r>
          </w:p>
        </w:tc>
        <w:tc>
          <w:tcPr>
            <w:tcW w:w="2212" w:type="dxa"/>
            <w:noWrap w:val="0"/>
            <w:tcMar>
              <w:top w:w="16" w:type="dxa"/>
              <w:left w:w="16" w:type="dxa"/>
              <w:right w:w="16" w:type="dxa"/>
            </w:tcMar>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用地（用海）</w:t>
            </w:r>
          </w:p>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面积（m</w:t>
            </w:r>
            <w:r>
              <w:rPr>
                <w:rFonts w:ascii="Times New Roman" w:hAnsi="Times New Roman"/>
                <w:color w:val="000000" w:themeColor="text1"/>
                <w:spacing w:val="0"/>
                <w:sz w:val="24"/>
                <w:vertAlign w:val="superscript"/>
                <w14:textFill>
                  <w14:solidFill>
                    <w14:schemeClr w14:val="tx1"/>
                  </w14:solidFill>
                </w14:textFill>
              </w:rPr>
              <w:t>2</w:t>
            </w:r>
            <w:r>
              <w:rPr>
                <w:rFonts w:ascii="Times New Roman" w:hAnsi="Times New Roman"/>
                <w:color w:val="000000" w:themeColor="text1"/>
                <w:spacing w:val="0"/>
                <w:sz w:val="24"/>
                <w14:textFill>
                  <w14:solidFill>
                    <w14:schemeClr w14:val="tx1"/>
                  </w14:solidFill>
                </w14:textFill>
              </w:rPr>
              <w:t>）</w:t>
            </w:r>
          </w:p>
        </w:tc>
        <w:tc>
          <w:tcPr>
            <w:tcW w:w="3317"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1</w:t>
            </w:r>
            <w:r>
              <w:rPr>
                <w:rFonts w:hint="eastAsia" w:ascii="Times New Roman" w:hAnsi="Times New Roman"/>
                <w:color w:val="000000" w:themeColor="text1"/>
                <w:spacing w:val="0"/>
                <w:sz w:val="24"/>
                <w:lang w:val="en-US" w:eastAsia="zh-CN"/>
                <w14:textFill>
                  <w14:solidFill>
                    <w14:schemeClr w14:val="tx1"/>
                  </w14:solidFill>
                </w14:textFill>
              </w:rPr>
              <w:t>6</w:t>
            </w:r>
            <w:r>
              <w:rPr>
                <w:rFonts w:ascii="Times New Roman" w:hAnsi="Times New Roman"/>
                <w:color w:val="000000" w:themeColor="text1"/>
                <w:spacing w:val="0"/>
                <w:sz w:val="24"/>
                <w14:textFill>
                  <w14:solidFill>
                    <w14:schemeClr w14:val="tx1"/>
                  </w14:solidFill>
                </w14:textFill>
              </w:rPr>
              <w:t>00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44" w:type="dxa"/>
            <w:gridSpan w:val="2"/>
            <w:noWrap w:val="0"/>
            <w:vAlign w:val="center"/>
          </w:tcPr>
          <w:p>
            <w:pPr>
              <w:keepLines w:val="0"/>
              <w:pageBreakBefore w:val="0"/>
              <w:kinsoku/>
              <w:wordWrap w:val="0"/>
              <w:topLinePunct w:val="0"/>
              <w:autoSpaceDE w:val="0"/>
              <w:autoSpaceDN w:val="0"/>
              <w:bidi w:val="0"/>
              <w:adjustRightInd w:val="0"/>
              <w:snapToGrid w:val="0"/>
              <w:jc w:val="center"/>
              <w:rPr>
                <w:rFonts w:ascii="Times New Roman" w:hAnsi="Times New Roman"/>
                <w:color w:val="000000" w:themeColor="text1"/>
                <w:spacing w:val="0"/>
                <w:kern w:val="0"/>
                <w:sz w:val="24"/>
                <w14:textFill>
                  <w14:solidFill>
                    <w14:schemeClr w14:val="tx1"/>
                  </w14:solidFill>
                </w14:textFill>
              </w:rPr>
            </w:pPr>
            <w:r>
              <w:rPr>
                <w:rFonts w:ascii="Times New Roman" w:hAnsi="Times New Roman"/>
                <w:color w:val="000000" w:themeColor="text1"/>
                <w:spacing w:val="0"/>
                <w:kern w:val="0"/>
                <w:sz w:val="24"/>
                <w14:textFill>
                  <w14:solidFill>
                    <w14:schemeClr w14:val="tx1"/>
                  </w14:solidFill>
                </w14:textFill>
              </w:rPr>
              <w:t>专项评价设置情况</w:t>
            </w:r>
          </w:p>
        </w:tc>
        <w:tc>
          <w:tcPr>
            <w:tcW w:w="7504" w:type="dxa"/>
            <w:gridSpan w:val="3"/>
            <w:noWrap w:val="0"/>
            <w:vAlign w:val="center"/>
          </w:tcPr>
          <w:p>
            <w:pPr>
              <w:keepLines w:val="0"/>
              <w:pageBreakBefore w:val="0"/>
              <w:kinsoku/>
              <w:wordWrap w:val="0"/>
              <w:topLinePunct w:val="0"/>
              <w:autoSpaceDE w:val="0"/>
              <w:autoSpaceDN w:val="0"/>
              <w:bidi w:val="0"/>
              <w:adjustRightInd w:val="0"/>
              <w:snapToGrid w:val="0"/>
              <w:jc w:val="center"/>
              <w:rPr>
                <w:rFonts w:ascii="Times New Roman" w:hAnsi="Times New Roman"/>
                <w:color w:val="000000" w:themeColor="text1"/>
                <w:spacing w:val="0"/>
                <w:kern w:val="0"/>
                <w:sz w:val="24"/>
                <w14:textFill>
                  <w14:solidFill>
                    <w14:schemeClr w14:val="tx1"/>
                  </w14:solidFill>
                </w14:textFill>
              </w:rPr>
            </w:pPr>
            <w:r>
              <w:rPr>
                <w:rFonts w:ascii="Times New Roman" w:hAnsi="Times New Roman"/>
                <w:color w:val="000000" w:themeColor="text1"/>
                <w:spacing w:val="0"/>
                <w:kern w:val="0"/>
                <w:sz w:val="24"/>
                <w14:textFill>
                  <w14:solidFill>
                    <w14:schemeClr w14:val="tx1"/>
                  </w14:solidFill>
                </w14:textFill>
              </w:rPr>
              <w:t>无</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21" w:hRule="atLeast"/>
          <w:jc w:val="center"/>
        </w:trPr>
        <w:tc>
          <w:tcPr>
            <w:tcW w:w="2044" w:type="dxa"/>
            <w:gridSpan w:val="2"/>
            <w:noWrap w:val="0"/>
            <w:vAlign w:val="center"/>
          </w:tcPr>
          <w:p>
            <w:pPr>
              <w:keepLines w:val="0"/>
              <w:pageBreakBefore w:val="0"/>
              <w:kinsoku/>
              <w:wordWrap w:val="0"/>
              <w:topLinePunct w:val="0"/>
              <w:autoSpaceDE w:val="0"/>
              <w:autoSpaceDN w:val="0"/>
              <w:bidi w:val="0"/>
              <w:adjustRightInd w:val="0"/>
              <w:snapToGrid w:val="0"/>
              <w:jc w:val="center"/>
              <w:rPr>
                <w:rFonts w:ascii="Times New Roman" w:hAnsi="Times New Roman"/>
                <w:color w:val="000000" w:themeColor="text1"/>
                <w:spacing w:val="0"/>
                <w:kern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规划情况</w:t>
            </w:r>
          </w:p>
        </w:tc>
        <w:tc>
          <w:tcPr>
            <w:tcW w:w="7504" w:type="dxa"/>
            <w:gridSpan w:val="3"/>
            <w:noWrap w:val="0"/>
            <w:vAlign w:val="center"/>
          </w:tcPr>
          <w:p>
            <w:pPr>
              <w:keepNext w:val="0"/>
              <w:keepLines w:val="0"/>
              <w:pageBreakBefore w:val="0"/>
              <w:kinsoku/>
              <w:wordWrap w:val="0"/>
              <w:overflowPunct/>
              <w:topLinePunct w:val="0"/>
              <w:autoSpaceDE w:val="0"/>
              <w:autoSpaceDN w:val="0"/>
              <w:bidi w:val="0"/>
              <w:adjustRightInd w:val="0"/>
              <w:snapToGrid w:val="0"/>
              <w:spacing w:line="500" w:lineRule="exact"/>
              <w:jc w:val="both"/>
              <w:textAlignment w:val="auto"/>
              <w:rPr>
                <w:rFonts w:hint="eastAsia" w:ascii="Times New Roman" w:hAnsi="Times New Roman"/>
                <w:color w:val="000000" w:themeColor="text1"/>
                <w:spacing w:val="0"/>
                <w:kern w:val="0"/>
                <w:sz w:val="24"/>
                <w:lang w:val="en-US" w:eastAsia="zh-CN"/>
                <w14:textFill>
                  <w14:solidFill>
                    <w14:schemeClr w14:val="tx1"/>
                  </w14:solidFill>
                </w14:textFill>
              </w:rPr>
            </w:pPr>
            <w:r>
              <w:rPr>
                <w:rFonts w:hint="eastAsia" w:ascii="Times New Roman" w:hAnsi="Times New Roman"/>
                <w:color w:val="000000" w:themeColor="text1"/>
                <w:spacing w:val="0"/>
                <w:kern w:val="0"/>
                <w:sz w:val="24"/>
                <w:lang w:val="en-US" w:eastAsia="zh-CN"/>
                <w14:textFill>
                  <w14:solidFill>
                    <w14:schemeClr w14:val="tx1"/>
                  </w14:solidFill>
                </w14:textFill>
              </w:rPr>
              <w:t>规划名称：许昌市产业集聚区规划纲要；</w:t>
            </w:r>
          </w:p>
          <w:p>
            <w:pPr>
              <w:keepNext w:val="0"/>
              <w:keepLines w:val="0"/>
              <w:pageBreakBefore w:val="0"/>
              <w:kinsoku/>
              <w:wordWrap w:val="0"/>
              <w:overflowPunct/>
              <w:topLinePunct w:val="0"/>
              <w:autoSpaceDE w:val="0"/>
              <w:autoSpaceDN w:val="0"/>
              <w:bidi w:val="0"/>
              <w:adjustRightInd w:val="0"/>
              <w:snapToGrid w:val="0"/>
              <w:spacing w:line="500" w:lineRule="exact"/>
              <w:jc w:val="both"/>
              <w:textAlignment w:val="auto"/>
              <w:rPr>
                <w:rFonts w:hint="eastAsia" w:ascii="Times New Roman" w:hAnsi="Times New Roman"/>
                <w:color w:val="000000" w:themeColor="text1"/>
                <w:spacing w:val="0"/>
                <w:kern w:val="0"/>
                <w:sz w:val="24"/>
                <w:lang w:val="en-US" w:eastAsia="zh-CN"/>
                <w14:textFill>
                  <w14:solidFill>
                    <w14:schemeClr w14:val="tx1"/>
                  </w14:solidFill>
                </w14:textFill>
              </w:rPr>
            </w:pPr>
            <w:r>
              <w:rPr>
                <w:rFonts w:hint="eastAsia" w:ascii="Times New Roman" w:hAnsi="Times New Roman"/>
                <w:color w:val="000000" w:themeColor="text1"/>
                <w:spacing w:val="0"/>
                <w:kern w:val="0"/>
                <w:sz w:val="24"/>
                <w:lang w:val="en-US" w:eastAsia="zh-CN"/>
                <w14:textFill>
                  <w14:solidFill>
                    <w14:schemeClr w14:val="tx1"/>
                  </w14:solidFill>
                </w14:textFill>
              </w:rPr>
              <w:t>审批机关：河南省发展和改革委员会；</w:t>
            </w:r>
          </w:p>
          <w:p>
            <w:pPr>
              <w:keepNext w:val="0"/>
              <w:keepLines w:val="0"/>
              <w:pageBreakBefore w:val="0"/>
              <w:kinsoku/>
              <w:wordWrap w:val="0"/>
              <w:overflowPunct/>
              <w:topLinePunct w:val="0"/>
              <w:autoSpaceDE w:val="0"/>
              <w:autoSpaceDN w:val="0"/>
              <w:bidi w:val="0"/>
              <w:adjustRightInd w:val="0"/>
              <w:snapToGrid w:val="0"/>
              <w:spacing w:line="500" w:lineRule="exact"/>
              <w:jc w:val="both"/>
              <w:textAlignment w:val="auto"/>
              <w:rPr>
                <w:rFonts w:hint="eastAsia" w:ascii="Times New Roman" w:hAnsi="Times New Roman"/>
                <w:color w:val="000000" w:themeColor="text1"/>
                <w:spacing w:val="0"/>
                <w:kern w:val="0"/>
                <w:sz w:val="24"/>
                <w:lang w:val="en-US" w:eastAsia="zh-CN"/>
                <w14:textFill>
                  <w14:solidFill>
                    <w14:schemeClr w14:val="tx1"/>
                  </w14:solidFill>
                </w14:textFill>
              </w:rPr>
            </w:pPr>
            <w:r>
              <w:rPr>
                <w:rFonts w:hint="eastAsia" w:ascii="Times New Roman" w:hAnsi="Times New Roman"/>
                <w:color w:val="000000" w:themeColor="text1"/>
                <w:spacing w:val="0"/>
                <w:kern w:val="0"/>
                <w:sz w:val="24"/>
                <w:lang w:val="en-US" w:eastAsia="zh-CN"/>
                <w14:textFill>
                  <w14:solidFill>
                    <w14:schemeClr w14:val="tx1"/>
                  </w14:solidFill>
                </w14:textFill>
              </w:rPr>
              <w:t>审批文件及文号：《关于许昌市产业集聚区规划纲要的批复》（豫发改工业[2021]535号）；</w:t>
            </w:r>
          </w:p>
          <w:p>
            <w:pPr>
              <w:keepNext w:val="0"/>
              <w:keepLines w:val="0"/>
              <w:pageBreakBefore w:val="0"/>
              <w:widowControl/>
              <w:suppressLineNumbers w:val="0"/>
              <w:kinsoku/>
              <w:wordWrap w:val="0"/>
              <w:overflowPunct/>
              <w:topLinePunct w:val="0"/>
              <w:bidi w:val="0"/>
              <w:spacing w:line="500" w:lineRule="exact"/>
              <w:jc w:val="left"/>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《襄城县循环经济产业集聚区总体发展规划（</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2021-2030</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2022</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年</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月</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15</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日将襄城县产业集聚区、襄城县循环经济产业集聚区整合为“襄城县先进制造业开发区”）。</w:t>
            </w:r>
          </w:p>
          <w:p>
            <w:pPr>
              <w:keepNext w:val="0"/>
              <w:keepLines w:val="0"/>
              <w:pageBreakBefore w:val="0"/>
              <w:widowControl/>
              <w:suppressLineNumbers w:val="0"/>
              <w:kinsoku/>
              <w:wordWrap w:val="0"/>
              <w:overflowPunct/>
              <w:topLinePunct w:val="0"/>
              <w:bidi w:val="0"/>
              <w:spacing w:line="500" w:lineRule="exact"/>
              <w:jc w:val="left"/>
              <w:textAlignment w:val="auto"/>
              <w:rPr>
                <w:rFonts w:hint="default" w:ascii="Times New Roman" w:hAnsi="Times New Roman"/>
                <w:color w:val="000000" w:themeColor="text1"/>
                <w:spacing w:val="0"/>
                <w:kern w:val="0"/>
                <w:sz w:val="24"/>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4"/>
                <w:szCs w:val="24"/>
                <w:u w:val="single"/>
                <w:lang w:val="en-US" w:eastAsia="zh-CN" w:bidi="ar"/>
                <w14:textFill>
                  <w14:solidFill>
                    <w14:schemeClr w14:val="tx1"/>
                  </w14:solidFill>
                </w14:textFill>
              </w:rPr>
              <w:t>《</w:t>
            </w:r>
            <w:r>
              <w:rPr>
                <w:rFonts w:hint="default" w:ascii="Times New Roman" w:hAnsi="Times New Roman" w:eastAsia="宋体" w:cs="宋体"/>
                <w:color w:val="000000" w:themeColor="text1"/>
                <w:spacing w:val="0"/>
                <w:kern w:val="0"/>
                <w:sz w:val="24"/>
                <w:szCs w:val="24"/>
                <w:u w:val="single"/>
                <w:lang w:val="en-US" w:eastAsia="zh-CN" w:bidi="ar"/>
                <w14:textFill>
                  <w14:solidFill>
                    <w14:schemeClr w14:val="tx1"/>
                  </w14:solidFill>
                </w14:textFill>
              </w:rPr>
              <w:t>襄城县先进制造业开发区总体发展规划（2022-2035）》（在编）</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701" w:hRule="atLeast"/>
          <w:jc w:val="center"/>
        </w:trPr>
        <w:tc>
          <w:tcPr>
            <w:tcW w:w="2044" w:type="dxa"/>
            <w:gridSpan w:val="2"/>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kern w:val="0"/>
                <w:sz w:val="24"/>
                <w14:textFill>
                  <w14:solidFill>
                    <w14:schemeClr w14:val="tx1"/>
                  </w14:solidFill>
                </w14:textFill>
              </w:rPr>
            </w:pPr>
            <w:r>
              <w:rPr>
                <w:rFonts w:ascii="Times New Roman" w:hAnsi="Times New Roman"/>
                <w:color w:val="000000" w:themeColor="text1"/>
                <w:spacing w:val="0"/>
                <w:sz w:val="24"/>
                <w14:textFill>
                  <w14:solidFill>
                    <w14:schemeClr w14:val="tx1"/>
                  </w14:solidFill>
                </w14:textFill>
              </w:rPr>
              <w:t>规划环境影响评价情况</w:t>
            </w:r>
          </w:p>
        </w:tc>
        <w:tc>
          <w:tcPr>
            <w:tcW w:w="7504" w:type="dxa"/>
            <w:gridSpan w:val="3"/>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500" w:lineRule="exact"/>
              <w:jc w:val="left"/>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规划环境影响评价文件：《襄城县循环经济产业集聚区总体发展规划（</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2021-2030</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）环境影响报告书》；</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left"/>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召集审查机关：河南省生态环境厅；</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left"/>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审查文件名称及文号：《关于襄城县循环经济产业集聚区总体发展规划（</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2021-2030</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）环境影响报告书的审查意见》（豫环函</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[2021]178</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号）。</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left"/>
              <w:textAlignment w:val="auto"/>
              <w:rPr>
                <w:rFonts w:hint="default"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cs="宋体"/>
                <w:color w:val="000000" w:themeColor="text1"/>
                <w:spacing w:val="0"/>
                <w:kern w:val="0"/>
                <w:sz w:val="24"/>
                <w:szCs w:val="24"/>
                <w:u w:val="single"/>
                <w:lang w:val="en-US" w:eastAsia="zh-CN" w:bidi="ar"/>
                <w14:textFill>
                  <w14:solidFill>
                    <w14:schemeClr w14:val="tx1"/>
                  </w14:solidFill>
                </w14:textFill>
              </w:rPr>
              <w:t>襄城县先进制造业开发区规划环评尚未正式开展。</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594" w:type="dxa"/>
            <w:noWrap w:val="0"/>
            <w:vAlign w:val="center"/>
          </w:tcPr>
          <w:p>
            <w:pPr>
              <w:keepLines w:val="0"/>
              <w:pageBreakBefore w:val="0"/>
              <w:kinsoku/>
              <w:wordWrap w:val="0"/>
              <w:topLinePunct w:val="0"/>
              <w:autoSpaceDE w:val="0"/>
              <w:autoSpaceDN w:val="0"/>
              <w:bidi w:val="0"/>
              <w:adjustRightInd w:val="0"/>
              <w:snapToGrid w:val="0"/>
              <w:jc w:val="center"/>
              <w:rPr>
                <w:rFonts w:ascii="Times New Roman" w:hAnsi="Times New Roman"/>
                <w:color w:val="000000" w:themeColor="text1"/>
                <w:spacing w:val="0"/>
                <w:kern w:val="0"/>
                <w:sz w:val="24"/>
                <w14:textFill>
                  <w14:solidFill>
                    <w14:schemeClr w14:val="tx1"/>
                  </w14:solidFill>
                </w14:textFill>
              </w:rPr>
            </w:pPr>
            <w:r>
              <w:rPr>
                <w:rFonts w:ascii="Times New Roman" w:hAnsi="Times New Roman"/>
                <w:color w:val="000000" w:themeColor="text1"/>
                <w:spacing w:val="0"/>
                <w:kern w:val="0"/>
                <w:sz w:val="24"/>
                <w14:textFill>
                  <w14:solidFill>
                    <w14:schemeClr w14:val="tx1"/>
                  </w14:solidFill>
                </w14:textFill>
              </w:rPr>
              <w:t>规划及规划环境</w:t>
            </w:r>
          </w:p>
          <w:p>
            <w:pPr>
              <w:keepLines w:val="0"/>
              <w:pageBreakBefore w:val="0"/>
              <w:kinsoku/>
              <w:wordWrap w:val="0"/>
              <w:topLinePunct w:val="0"/>
              <w:autoSpaceDE w:val="0"/>
              <w:autoSpaceDN w:val="0"/>
              <w:bidi w:val="0"/>
              <w:adjustRightInd w:val="0"/>
              <w:snapToGrid w:val="0"/>
              <w:jc w:val="center"/>
              <w:rPr>
                <w:rFonts w:ascii="Times New Roman" w:hAnsi="Times New Roman"/>
                <w:color w:val="000000" w:themeColor="text1"/>
                <w:spacing w:val="0"/>
                <w:kern w:val="0"/>
                <w:sz w:val="24"/>
                <w14:textFill>
                  <w14:solidFill>
                    <w14:schemeClr w14:val="tx1"/>
                  </w14:solidFill>
                </w14:textFill>
              </w:rPr>
            </w:pPr>
            <w:r>
              <w:rPr>
                <w:rFonts w:ascii="Times New Roman" w:hAnsi="Times New Roman"/>
                <w:color w:val="000000" w:themeColor="text1"/>
                <w:spacing w:val="0"/>
                <w:kern w:val="0"/>
                <w:sz w:val="24"/>
                <w14:textFill>
                  <w14:solidFill>
                    <w14:schemeClr w14:val="tx1"/>
                  </w14:solidFill>
                </w14:textFill>
              </w:rPr>
              <w:t>影响评价符合性分析</w:t>
            </w:r>
          </w:p>
        </w:tc>
        <w:tc>
          <w:tcPr>
            <w:tcW w:w="8954" w:type="dxa"/>
            <w:gridSpan w:val="4"/>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根据《河南省发展和改革委员会关于同意许昌市开发区整合方案的函》（豫发改工业函</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[2022]25</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号），拟将“襄城县产业集聚区、襄城县循环经济产业集聚区”整合为“襄城县先进制造业开发区”。襄城县循环经济产业集聚区现更名为：襄城县先进制造业开发区南区。</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2" w:firstLineChars="200"/>
              <w:jc w:val="left"/>
              <w:textAlignment w:val="auto"/>
              <w:rPr>
                <w:rFonts w:ascii="Times New Roman" w:hAnsi="Times New Roman"/>
                <w:color w:val="000000" w:themeColor="text1"/>
                <w:spacing w:val="0"/>
                <w:u w:val="single"/>
                <w14:textFill>
                  <w14:solidFill>
                    <w14:schemeClr w14:val="tx1"/>
                  </w14:solidFill>
                </w14:textFill>
              </w:rPr>
            </w:pPr>
            <w:r>
              <w:rPr>
                <w:rFonts w:hint="eastAsia" w:ascii="Times New Roman" w:hAnsi="Times New Roman" w:eastAsia="宋体" w:cs="Times New Roman"/>
                <w:b/>
                <w:bCs/>
                <w:color w:val="000000" w:themeColor="text1"/>
                <w:spacing w:val="0"/>
                <w:kern w:val="0"/>
                <w:sz w:val="24"/>
                <w:szCs w:val="24"/>
                <w:u w:val="single"/>
                <w:lang w:val="en-US" w:eastAsia="zh-CN" w:bidi="ar"/>
                <w14:textFill>
                  <w14:solidFill>
                    <w14:schemeClr w14:val="tx1"/>
                  </w14:solidFill>
                </w14:textFill>
              </w:rPr>
              <w:t>1.1</w:t>
            </w:r>
            <w:r>
              <w:rPr>
                <w:rFonts w:hint="eastAsia" w:ascii="Times New Roman" w:hAnsi="Times New Roman" w:eastAsia="宋体" w:cs="宋体"/>
                <w:b/>
                <w:bCs/>
                <w:color w:val="000000" w:themeColor="text1"/>
                <w:spacing w:val="0"/>
                <w:kern w:val="0"/>
                <w:sz w:val="24"/>
                <w:szCs w:val="24"/>
                <w:u w:val="single"/>
                <w:lang w:val="en-US" w:eastAsia="zh-CN" w:bidi="ar"/>
                <w14:textFill>
                  <w14:solidFill>
                    <w14:schemeClr w14:val="tx1"/>
                  </w14:solidFill>
                </w14:textFill>
              </w:rPr>
              <w:t>本项目与</w:t>
            </w:r>
            <w:r>
              <w:rPr>
                <w:rFonts w:hint="eastAsia" w:cs="宋体"/>
                <w:b/>
                <w:bCs/>
                <w:color w:val="000000" w:themeColor="text1"/>
                <w:spacing w:val="0"/>
                <w:kern w:val="0"/>
                <w:sz w:val="24"/>
                <w:szCs w:val="24"/>
                <w:u w:val="single"/>
                <w:lang w:val="en-US" w:eastAsia="zh-CN" w:bidi="ar"/>
                <w14:textFill>
                  <w14:solidFill>
                    <w14:schemeClr w14:val="tx1"/>
                  </w14:solidFill>
                </w14:textFill>
              </w:rPr>
              <w:t>《</w:t>
            </w:r>
            <w:r>
              <w:rPr>
                <w:rFonts w:hint="eastAsia" w:ascii="Times New Roman" w:hAnsi="Times New Roman" w:eastAsia="宋体" w:cs="宋体"/>
                <w:b/>
                <w:bCs/>
                <w:color w:val="000000" w:themeColor="text1"/>
                <w:spacing w:val="0"/>
                <w:kern w:val="0"/>
                <w:sz w:val="24"/>
                <w:szCs w:val="24"/>
                <w:u w:val="single"/>
                <w:lang w:val="en-US" w:eastAsia="zh-CN" w:bidi="ar"/>
                <w14:textFill>
                  <w14:solidFill>
                    <w14:schemeClr w14:val="tx1"/>
                  </w14:solidFill>
                </w14:textFill>
              </w:rPr>
              <w:t>襄城县先进制造业开发区</w:t>
            </w:r>
            <w:r>
              <w:rPr>
                <w:rFonts w:hint="eastAsia" w:cs="宋体"/>
                <w:b/>
                <w:bCs/>
                <w:color w:val="000000" w:themeColor="text1"/>
                <w:spacing w:val="0"/>
                <w:kern w:val="0"/>
                <w:sz w:val="24"/>
                <w:szCs w:val="24"/>
                <w:u w:val="single"/>
                <w:lang w:val="en-US" w:eastAsia="zh-CN" w:bidi="ar"/>
                <w14:textFill>
                  <w14:solidFill>
                    <w14:schemeClr w14:val="tx1"/>
                  </w14:solidFill>
                </w14:textFill>
              </w:rPr>
              <w:t>总体发展</w:t>
            </w:r>
            <w:r>
              <w:rPr>
                <w:rFonts w:hint="eastAsia" w:ascii="Times New Roman" w:hAnsi="Times New Roman" w:eastAsia="宋体" w:cs="宋体"/>
                <w:b/>
                <w:bCs/>
                <w:color w:val="000000" w:themeColor="text1"/>
                <w:spacing w:val="0"/>
                <w:kern w:val="0"/>
                <w:sz w:val="24"/>
                <w:szCs w:val="24"/>
                <w:u w:val="single"/>
                <w:lang w:val="en-US" w:eastAsia="zh-CN" w:bidi="ar"/>
                <w14:textFill>
                  <w14:solidFill>
                    <w14:schemeClr w14:val="tx1"/>
                  </w14:solidFill>
                </w14:textFill>
              </w:rPr>
              <w:t>规划</w:t>
            </w:r>
            <w:r>
              <w:rPr>
                <w:rFonts w:hint="eastAsia" w:cs="宋体"/>
                <w:b/>
                <w:bCs/>
                <w:color w:val="000000" w:themeColor="text1"/>
                <w:spacing w:val="0"/>
                <w:kern w:val="0"/>
                <w:sz w:val="24"/>
                <w:szCs w:val="24"/>
                <w:u w:val="single"/>
                <w:lang w:val="en-US" w:eastAsia="zh-CN" w:bidi="ar"/>
                <w14:textFill>
                  <w14:solidFill>
                    <w14:schemeClr w14:val="tx1"/>
                  </w14:solidFill>
                </w14:textFill>
              </w:rPr>
              <w:t>（2022-2035）》（在编）</w:t>
            </w:r>
            <w:r>
              <w:rPr>
                <w:rFonts w:hint="eastAsia" w:ascii="Times New Roman" w:hAnsi="Times New Roman" w:eastAsia="宋体" w:cs="宋体"/>
                <w:b/>
                <w:bCs/>
                <w:color w:val="000000" w:themeColor="text1"/>
                <w:spacing w:val="0"/>
                <w:kern w:val="0"/>
                <w:sz w:val="24"/>
                <w:szCs w:val="24"/>
                <w:u w:val="single"/>
                <w:lang w:val="en-US" w:eastAsia="zh-CN" w:bidi="ar"/>
                <w14:textFill>
                  <w14:solidFill>
                    <w14:schemeClr w14:val="tx1"/>
                  </w14:solidFill>
                </w14:textFill>
              </w:rPr>
              <w:t>相符性分析</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宋体"/>
                <w:color w:val="000000" w:themeColor="text1"/>
                <w:spacing w:val="0"/>
                <w:kern w:val="0"/>
                <w:sz w:val="24"/>
                <w:szCs w:val="24"/>
                <w:u w:val="single"/>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u w:val="single"/>
                <w:lang w:val="en-US" w:eastAsia="zh-CN" w:bidi="ar"/>
                <w14:textFill>
                  <w14:solidFill>
                    <w14:schemeClr w14:val="tx1"/>
                  </w14:solidFill>
                </w14:textFill>
              </w:rPr>
              <w:t>为有序推进河南省开发区整合、扩区、调规，优化开发区空间结构和用地布局，保障产业发展空间，我省组织划定了开发区四至边界范围，划定成果已经省政府同意，2023年6月，河南省人民政府办公厅发布了《关于公布河南省开发区四至边界范围的通知》（豫政办[2023]26号），襄城县先进制造业开发区规划（围合）范围总面积1517.57公顷，包括三个片区：片区1东至规划经十三路，西至平禹铁路，南至文明路—规划凤翔路—规划文化路，北至汜城大道；片区2东至紫云大道，西至黄桥村，南至汜城大道，北至文化河。片区3东至紫云大道，西至首山一矿，南至G311，北至乾明大道。目前，《襄城县先进制造业开发区总体发展规划（2022-2035）》正在修编中，开发区规划环评尚未正式开展。襄城县先进制造业开发区包括南园、北园，南园位于襄城县中心城区西南部，北园位于襄城县中心城区北部。</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ascii="Times New Roman" w:hAnsi="Times New Roman"/>
                <w:color w:val="000000" w:themeColor="text1"/>
                <w:spacing w:val="0"/>
                <w:sz w:val="24"/>
                <w:szCs w:val="24"/>
                <w14:textFill>
                  <w14:solidFill>
                    <w14:schemeClr w14:val="tx1"/>
                  </w14:solidFill>
                </w14:textFill>
              </w:rPr>
            </w:pPr>
            <w:r>
              <w:rPr>
                <w:rFonts w:hint="eastAsia" w:ascii="Times New Roman" w:hAnsi="Times New Roman" w:eastAsia="宋体" w:cs="宋体"/>
                <w:color w:val="000000" w:themeColor="text1"/>
                <w:spacing w:val="0"/>
                <w:kern w:val="0"/>
                <w:sz w:val="24"/>
                <w:szCs w:val="24"/>
                <w:u w:val="single"/>
                <w:lang w:val="en-US" w:eastAsia="zh-CN" w:bidi="ar"/>
                <w14:textFill>
                  <w14:solidFill>
                    <w14:schemeClr w14:val="tx1"/>
                  </w14:solidFill>
                </w14:textFill>
              </w:rPr>
              <w:t>本项目位于襄城县先进制造业开发区南区，项目选址位于规划的硅碳新材料产业园黄洋铜业院内，本项目为危险废物收集、贮存、转运项目，是集聚区产业链配套的下游产业。项目用地属于三类工业用地，不属于集聚区产业发展负面清单项目。项目建设符合襄城县先进制造业开发区主导产业及用地规划要求。</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项目在园区的位置详见</w:t>
            </w:r>
            <w:r>
              <w:rPr>
                <w:rFonts w:hint="eastAsia" w:ascii="Times New Roman" w:hAnsi="Times New Roman" w:eastAsia="宋体" w:cs="宋体"/>
                <w:color w:val="000000" w:themeColor="text1"/>
                <w:spacing w:val="0"/>
                <w:kern w:val="0"/>
                <w:sz w:val="24"/>
                <w:szCs w:val="24"/>
                <w:highlight w:val="none"/>
                <w:lang w:val="en-US" w:eastAsia="zh-CN" w:bidi="ar"/>
                <w14:textFill>
                  <w14:solidFill>
                    <w14:schemeClr w14:val="tx1"/>
                  </w14:solidFill>
                </w14:textFill>
              </w:rPr>
              <w:t>附图</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2" w:firstLineChars="200"/>
              <w:jc w:val="left"/>
              <w:textAlignment w:val="auto"/>
              <w:rPr>
                <w:rFonts w:ascii="Times New Roman" w:hAnsi="Times New Roman"/>
                <w:color w:val="000000" w:themeColor="text1"/>
                <w:spacing w:val="0"/>
                <w14:textFill>
                  <w14:solidFill>
                    <w14:schemeClr w14:val="tx1"/>
                  </w14:solidFill>
                </w14:textFill>
              </w:rPr>
            </w:pPr>
            <w:r>
              <w:rPr>
                <w:rFonts w:hint="eastAsia" w:ascii="Times New Roman" w:hAnsi="Times New Roman" w:eastAsia="宋体" w:cs="Times New Roman"/>
                <w:b/>
                <w:bCs/>
                <w:color w:val="000000" w:themeColor="text1"/>
                <w:spacing w:val="0"/>
                <w:kern w:val="0"/>
                <w:sz w:val="24"/>
                <w:szCs w:val="24"/>
                <w:lang w:val="en-US" w:eastAsia="zh-CN" w:bidi="ar"/>
                <w14:textFill>
                  <w14:solidFill>
                    <w14:schemeClr w14:val="tx1"/>
                  </w14:solidFill>
                </w14:textFill>
              </w:rPr>
              <w:t>1.2</w:t>
            </w:r>
            <w:r>
              <w:rPr>
                <w:rFonts w:hint="eastAsia" w:ascii="Times New Roman" w:hAnsi="Times New Roman" w:eastAsia="宋体" w:cs="宋体"/>
                <w:b/>
                <w:bCs/>
                <w:color w:val="000000" w:themeColor="text1"/>
                <w:spacing w:val="0"/>
                <w:kern w:val="0"/>
                <w:sz w:val="24"/>
                <w:szCs w:val="24"/>
                <w:lang w:val="en-US" w:eastAsia="zh-CN" w:bidi="ar"/>
                <w14:textFill>
                  <w14:solidFill>
                    <w14:schemeClr w14:val="tx1"/>
                  </w14:solidFill>
                </w14:textFill>
              </w:rPr>
              <w:t>本项目与《襄城县循环经济产业集聚区发展规划（</w:t>
            </w:r>
            <w:r>
              <w:rPr>
                <w:rFonts w:hint="default" w:ascii="Times New Roman" w:hAnsi="Times New Roman" w:eastAsia="宋体" w:cs="Times New Roman"/>
                <w:b/>
                <w:bCs/>
                <w:color w:val="000000" w:themeColor="text1"/>
                <w:spacing w:val="0"/>
                <w:kern w:val="0"/>
                <w:sz w:val="24"/>
                <w:szCs w:val="24"/>
                <w:lang w:val="en-US" w:eastAsia="zh-CN" w:bidi="ar"/>
                <w14:textFill>
                  <w14:solidFill>
                    <w14:schemeClr w14:val="tx1"/>
                  </w14:solidFill>
                </w14:textFill>
              </w:rPr>
              <w:t>2021-2030</w:t>
            </w:r>
            <w:r>
              <w:rPr>
                <w:rFonts w:hint="eastAsia" w:ascii="Times New Roman" w:hAnsi="Times New Roman" w:eastAsia="宋体" w:cs="宋体"/>
                <w:b/>
                <w:bCs/>
                <w:color w:val="000000" w:themeColor="text1"/>
                <w:spacing w:val="0"/>
                <w:kern w:val="0"/>
                <w:sz w:val="24"/>
                <w:szCs w:val="24"/>
                <w:lang w:val="en-US" w:eastAsia="zh-CN" w:bidi="ar"/>
                <w14:textFill>
                  <w14:solidFill>
                    <w14:schemeClr w14:val="tx1"/>
                  </w14:solidFill>
                </w14:textFill>
              </w:rPr>
              <w:t xml:space="preserve">）环境影响报告书》相符性分析 </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ascii="Times New Roman" w:hAnsi="Times New Roman"/>
                <w:color w:val="000000" w:themeColor="text1"/>
                <w:spacing w:val="0"/>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根据已批复的《襄城县循环经济产业集聚区发展规划（</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2021-2030</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）环境影响报告书》，项目与襄城县先进制造业开发区南区（原襄城县循环经济产业集聚区）规划环评准入条件和负面清单相符性分析详见表1-1和表1-2。</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spacing w:val="0"/>
                <w:kern w:val="0"/>
                <w:sz w:val="21"/>
                <w:szCs w:val="21"/>
                <w:lang w:val="en-US" w:eastAsia="zh-CN" w:bidi="ar"/>
                <w14:textFill>
                  <w14:solidFill>
                    <w14:schemeClr w14:val="tx1"/>
                  </w14:solidFill>
                </w14:textFill>
              </w:rPr>
              <w:t>表1-1  项目与集聚区规划环评项目准入条件的相符性分析</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3"/>
              <w:gridCol w:w="4349"/>
              <w:gridCol w:w="2764"/>
              <w:gridCol w:w="9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55" w:hRule="atLeast"/>
              </w:trPr>
              <w:tc>
                <w:tcPr>
                  <w:tcW w:w="3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项目</w:t>
                  </w:r>
                </w:p>
              </w:tc>
              <w:tc>
                <w:tcPr>
                  <w:tcW w:w="248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环境准入条件</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本项目情况</w:t>
                  </w:r>
                </w:p>
              </w:tc>
              <w:tc>
                <w:tcPr>
                  <w:tcW w:w="56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空间布局约束</w:t>
                  </w: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优先发展煤化工、硅碳新材料及其配套产业，鼓励有助于延长产业集聚区主导产业链且符合产业集聚区功能定位的项目入驻。限制不符合产业集聚区发展规划和功能定位的工业企业入驻</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w:t>
                  </w:r>
                  <w:r>
                    <w:rPr>
                      <w:rFonts w:hint="eastAsia"/>
                      <w:color w:val="000000" w:themeColor="text1"/>
                      <w:spacing w:val="0"/>
                      <w:sz w:val="21"/>
                      <w:szCs w:val="21"/>
                      <w:vertAlign w:val="baseline"/>
                      <w:lang w:val="en-US" w:eastAsia="zh-CN"/>
                      <w14:textFill>
                        <w14:solidFill>
                          <w14:schemeClr w14:val="tx1"/>
                        </w14:solidFill>
                      </w14:textFill>
                    </w:rPr>
                    <w:t>为危险废物收集、贮存、转运项目</w:t>
                  </w: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w:t>
                  </w:r>
                  <w:r>
                    <w:rPr>
                      <w:rFonts w:hint="eastAsia"/>
                      <w:color w:val="000000" w:themeColor="text1"/>
                      <w:spacing w:val="0"/>
                      <w:sz w:val="21"/>
                      <w:szCs w:val="21"/>
                      <w:vertAlign w:val="baseline"/>
                      <w:lang w:val="en-US" w:eastAsia="zh-CN"/>
                      <w14:textFill>
                        <w14:solidFill>
                          <w14:schemeClr w14:val="tx1"/>
                        </w14:solidFill>
                      </w14:textFill>
                    </w:rPr>
                    <w:t>是集聚区产业链配套的下游产业，与集聚区产业定位不冲突。</w:t>
                  </w:r>
                </w:p>
              </w:tc>
              <w:tc>
                <w:tcPr>
                  <w:tcW w:w="56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禁止新建、扩建、改建燃用高污染燃料的项目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集中供热、热电联产设施除外</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列入建设用地土壤污染风险管控和修复名录的地块，不得作为住宅、公共管理和公共服务用地</w:t>
                  </w:r>
                </w:p>
              </w:tc>
              <w:tc>
                <w:tcPr>
                  <w:tcW w:w="1581"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本项目租用襄城县先进制造业开发区南区（原襄城县循环经济产业集聚区）黄洋铜业工业园内闲置车间，不涉及。</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污染物排放管控</w:t>
                  </w: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新建涉高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VOCs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排放的化工等重点行业企业实行区域内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VOCs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排放等量或倍量削减替代</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本项目只收集、贮存、转运危险废物，产生的VOCs有合理的替代源</w:t>
                  </w:r>
                </w:p>
              </w:tc>
              <w:tc>
                <w:tcPr>
                  <w:tcW w:w="56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企业废水必须实现全收集、全处理。污水集中处理设施实现管网全配套。集中污水处理厂尾水排放必须达到或优于《城镇污水处理厂污染物排放标准》</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(GB18918-2002)</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一级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A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标准</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本项目无生产废水，碱喷淋废液作为危废收集后定期交由有资质单位处理；生活废水依托现有黄洋铜业厂区内现有化粪池处理，定期清掏，运往周边农田</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对现有企业工业粉尘及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VOCs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开展深度治理，确保稳定达标排</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本项目为新建项目</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新建“两高”项目应按照《关于加强重点行业建设项目区域削减措施监督管理的通知》要求，依据区域环境质量改善目标，制定配套区域污染物削减方案，采取有效的污染物区域削减措施，腾出足够的环境容量</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新建耗煤项目还应严格按规定采取煤炭消费减量替代措施，不得使用高污染燃料作为煤炭减量替代措施</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已出台超低排放要求的“两高”行业建设项目应满足超低排放要求</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产业集聚区新增颗粒物排放量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≤102.63t/a</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SO</w:t>
                  </w:r>
                  <w:r>
                    <w:rPr>
                      <w:rFonts w:hint="eastAsia"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≤330.76t/a</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NO</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x</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≤641.59t/a</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VOC</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s</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≤154.06t/a</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BaP</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≤2.51×10</w:t>
                  </w:r>
                  <w:r>
                    <w:rPr>
                      <w:rFonts w:hint="eastAsia"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t/a</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NH</w:t>
                  </w:r>
                  <w:r>
                    <w:rPr>
                      <w:rFonts w:hint="eastAsia"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≤36.72t/a</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H</w:t>
                  </w:r>
                  <w:r>
                    <w:rPr>
                      <w:rFonts w:hint="eastAsia"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S</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≤0.79t/a</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COD</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≤116.07t/a</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NH</w:t>
                  </w:r>
                  <w:r>
                    <w:rPr>
                      <w:rFonts w:hint="eastAsia"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-N</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≤5.80t/a</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本项目无生产废水，碱喷淋废液作为危废收集后定期交由有资质单位处理；生活废水依托现有黄洋铜业厂区内现有化粪池处理，定期清掏，运往周边农田；VOCs</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0.</w:t>
                  </w:r>
                  <w:r>
                    <w:rPr>
                      <w:rFonts w:hint="eastAsia" w:cs="Times New Roman"/>
                      <w:color w:val="000000" w:themeColor="text1"/>
                      <w:spacing w:val="0"/>
                      <w:kern w:val="0"/>
                      <w:sz w:val="21"/>
                      <w:szCs w:val="21"/>
                      <w:lang w:val="en-US" w:eastAsia="zh-CN" w:bidi="ar"/>
                      <w14:textFill>
                        <w14:solidFill>
                          <w14:schemeClr w14:val="tx1"/>
                        </w14:solidFill>
                      </w14:textFill>
                    </w:rPr>
                    <w:t>207</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t/a</w:t>
                  </w: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，不涉及SO</w:t>
                  </w:r>
                  <w:r>
                    <w:rPr>
                      <w:rFonts w:hint="eastAsia" w:ascii="Times New Roman" w:hAnsi="Times New Roman"/>
                      <w:color w:val="000000" w:themeColor="text1"/>
                      <w:spacing w:val="0"/>
                      <w:sz w:val="21"/>
                      <w:szCs w:val="21"/>
                      <w:vertAlign w:val="subscript"/>
                      <w:lang w:val="en-US" w:eastAsia="zh-CN"/>
                      <w14:textFill>
                        <w14:solidFill>
                          <w14:schemeClr w14:val="tx1"/>
                        </w14:solidFill>
                      </w14:textFill>
                    </w:rPr>
                    <w:t>2</w:t>
                  </w: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、NOx、NH</w:t>
                  </w:r>
                  <w:r>
                    <w:rPr>
                      <w:rFonts w:hint="eastAsia" w:ascii="Times New Roman" w:hAnsi="Times New Roman"/>
                      <w:color w:val="000000" w:themeColor="text1"/>
                      <w:spacing w:val="0"/>
                      <w:sz w:val="21"/>
                      <w:szCs w:val="21"/>
                      <w:vertAlign w:val="subscript"/>
                      <w:lang w:val="en-US" w:eastAsia="zh-CN"/>
                      <w14:textFill>
                        <w14:solidFill>
                          <w14:schemeClr w14:val="tx1"/>
                        </w14:solidFill>
                      </w14:textFill>
                    </w:rPr>
                    <w:t>3</w:t>
                  </w: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、H</w:t>
                  </w:r>
                  <w:r>
                    <w:rPr>
                      <w:rFonts w:hint="eastAsia" w:ascii="Times New Roman" w:hAnsi="Times New Roman"/>
                      <w:color w:val="000000" w:themeColor="text1"/>
                      <w:spacing w:val="0"/>
                      <w:sz w:val="21"/>
                      <w:szCs w:val="21"/>
                      <w:vertAlign w:val="subscript"/>
                      <w:lang w:val="en-US" w:eastAsia="zh-CN"/>
                      <w14:textFill>
                        <w14:solidFill>
                          <w14:schemeClr w14:val="tx1"/>
                        </w14:solidFill>
                      </w14:textFill>
                    </w:rPr>
                    <w:t>2</w:t>
                  </w: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S排放</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环境风险管控</w:t>
                  </w: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应制定完善的事故风险应急预案，建立风险防范体系，具备事故应急能力，并定期进行演练</w:t>
                  </w:r>
                </w:p>
              </w:tc>
              <w:tc>
                <w:tcPr>
                  <w:tcW w:w="1581" w:type="pct"/>
                  <w:vMerge w:val="restar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企业内部应建立相应的事故风险防范体系，编制应急预案，定期演练，并与园区联动，杜绝发生污染事故</w:t>
                  </w:r>
                </w:p>
              </w:tc>
              <w:tc>
                <w:tcPr>
                  <w:tcW w:w="56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企业内部应建立相应的事故风险防范体系，制定应急预案，认真落实环境风险防范措施，杜绝发生污染事故</w:t>
                  </w:r>
                </w:p>
              </w:tc>
              <w:tc>
                <w:tcPr>
                  <w:tcW w:w="1581"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高关注地块划分污染风险等级，纳入优先管控名录</w:t>
                  </w:r>
                </w:p>
              </w:tc>
              <w:tc>
                <w:tcPr>
                  <w:tcW w:w="1581"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资源利用开发管控</w:t>
                  </w: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依托产业集聚区污水处理厂建设再生水回用配套设施，提高再生水利用率</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本项目无生产废水，碱喷淋废液作为危废收集后定期交由有资质单位处理；生活废水依托现有黄洋铜业厂区内现有化粪池处理，定期清掏，运往周边农田</w:t>
                  </w:r>
                </w:p>
              </w:tc>
              <w:tc>
                <w:tcPr>
                  <w:tcW w:w="56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限制污染排放较大的行业；高水耗、高物耗、高能耗的项目；废水含难降解的有机污染物、“三致”污染物及盐分含量较高的项目</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加快产业集聚区基础设施建设，实现产业集聚区内生产生活集中供水，逐步取缔关闭企业自备地下水井</w:t>
                  </w:r>
                </w:p>
              </w:tc>
              <w:tc>
                <w:tcPr>
                  <w:tcW w:w="15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项目生活用水来源于园区集中供水，无生产用水</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48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万元工业增加值排水量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≤15m</w:t>
                  </w:r>
                  <w:r>
                    <w:rPr>
                      <w:rFonts w:hint="default"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、万元工业增加值</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COD</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≤1kg</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、万元工业增加值</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≤1kg</w:t>
                  </w:r>
                </w:p>
              </w:tc>
              <w:tc>
                <w:tcPr>
                  <w:tcW w:w="1581"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本项目万元工业增加值排水量</w:t>
                  </w:r>
                  <w:r>
                    <w:rPr>
                      <w:rFonts w:hint="default" w:ascii="Times New Roman" w:hAnsi="Times New Roman" w:eastAsia="宋体" w:cs="Arial"/>
                      <w:color w:val="000000" w:themeColor="text1"/>
                      <w:spacing w:val="0"/>
                      <w:kern w:val="0"/>
                      <w:sz w:val="21"/>
                      <w:szCs w:val="21"/>
                      <w:lang w:val="en-US" w:eastAsia="zh-CN" w:bidi="ar"/>
                      <w14:textFill>
                        <w14:solidFill>
                          <w14:schemeClr w14:val="tx1"/>
                        </w14:solidFill>
                      </w14:textFill>
                    </w:rPr>
                    <w:t>&lt;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15m</w:t>
                  </w:r>
                  <w:r>
                    <w:rPr>
                      <w:rFonts w:hint="eastAsia"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万元；万元工业增加值</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COD</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Arial"/>
                      <w:color w:val="000000" w:themeColor="text1"/>
                      <w:spacing w:val="0"/>
                      <w:kern w:val="0"/>
                      <w:sz w:val="21"/>
                      <w:szCs w:val="21"/>
                      <w:lang w:val="en-US" w:eastAsia="zh-CN" w:bidi="ar"/>
                      <w14:textFill>
                        <w14:solidFill>
                          <w14:schemeClr w14:val="tx1"/>
                        </w14:solidFill>
                      </w14:textFill>
                    </w:rPr>
                    <w:t>&lt;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1kg/</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万元；不排放</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p>
              </w:tc>
              <w:tc>
                <w:tcPr>
                  <w:tcW w:w="56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bl>
          <w:p>
            <w:pPr>
              <w:keepLines w:val="0"/>
              <w:pageBreakBefore w:val="0"/>
              <w:kinsoku/>
              <w:wordWrap w:val="0"/>
              <w:topLinePunct w:val="0"/>
              <w:bidi w:val="0"/>
              <w:spacing w:line="240" w:lineRule="auto"/>
              <w:jc w:val="center"/>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default" w:ascii="Times New Roman" w:hAnsi="Times New Roman" w:cs="Times New Roman"/>
                <w:b/>
                <w:bCs/>
                <w:color w:val="000000" w:themeColor="text1"/>
                <w:spacing w:val="0"/>
                <w:sz w:val="21"/>
                <w:szCs w:val="21"/>
                <w:lang w:val="en-US" w:eastAsia="zh-CN"/>
                <w14:textFill>
                  <w14:solidFill>
                    <w14:schemeClr w14:val="tx1"/>
                  </w14:solidFill>
                </w14:textFill>
              </w:rPr>
              <w:t>表1-2  项目与集聚区规划环评负面清单相符性分析</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72"/>
              <w:gridCol w:w="1157"/>
              <w:gridCol w:w="3720"/>
              <w:gridCol w:w="318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序号</w:t>
                  </w:r>
                </w:p>
              </w:tc>
              <w:tc>
                <w:tcPr>
                  <w:tcW w:w="66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分类</w:t>
                  </w:r>
                </w:p>
              </w:tc>
              <w:tc>
                <w:tcPr>
                  <w:tcW w:w="21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负面清单</w:t>
                  </w:r>
                </w:p>
              </w:tc>
              <w:tc>
                <w:tcPr>
                  <w:tcW w:w="182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1</w:t>
                  </w:r>
                </w:p>
              </w:tc>
              <w:tc>
                <w:tcPr>
                  <w:tcW w:w="66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管理要求</w:t>
                  </w:r>
                </w:p>
              </w:tc>
              <w:tc>
                <w:tcPr>
                  <w:tcW w:w="21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禁止入驻国家产业结构调整指导目录淘汰、限制类项目</w:t>
                  </w:r>
                </w:p>
              </w:tc>
              <w:tc>
                <w:tcPr>
                  <w:tcW w:w="182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本项目符合国家产业结构调整目录，为允许类</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2</w:t>
                  </w:r>
                </w:p>
              </w:tc>
              <w:tc>
                <w:tcPr>
                  <w:tcW w:w="66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行业清单</w:t>
                  </w:r>
                </w:p>
              </w:tc>
              <w:tc>
                <w:tcPr>
                  <w:tcW w:w="212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ascii="Times New Roman" w:hAnsi="Times New Roman"/>
                      <w:color w:val="000000" w:themeColor="text1"/>
                      <w:spacing w:val="0"/>
                      <w:sz w:val="21"/>
                      <w:szCs w:val="21"/>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限制不属于主导产业、关联产业</w:t>
                  </w:r>
                </w:p>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及其上下游补链、延链行业的</w:t>
                  </w:r>
                </w:p>
              </w:tc>
              <w:tc>
                <w:tcPr>
                  <w:tcW w:w="1823" w:type="pct"/>
                  <w:vMerge w:val="restar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本项目为危险废物收集、贮存、转运项目，是集聚区产业链配套的下游产业，与集聚区产业定位不冲突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66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1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禁止发展铝用碳素项目</w:t>
                  </w:r>
                </w:p>
              </w:tc>
              <w:tc>
                <w:tcPr>
                  <w:tcW w:w="1823"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3</w:t>
                  </w:r>
                </w:p>
              </w:tc>
              <w:tc>
                <w:tcPr>
                  <w:tcW w:w="66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产品清单</w:t>
                  </w:r>
                </w:p>
              </w:tc>
              <w:tc>
                <w:tcPr>
                  <w:tcW w:w="21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光伏用多晶硅、光伏用单晶硅</w:t>
                  </w:r>
                </w:p>
              </w:tc>
              <w:tc>
                <w:tcPr>
                  <w:tcW w:w="182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4</w:t>
                  </w:r>
                </w:p>
              </w:tc>
              <w:tc>
                <w:tcPr>
                  <w:tcW w:w="66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规模控制</w:t>
                  </w:r>
                </w:p>
              </w:tc>
              <w:tc>
                <w:tcPr>
                  <w:tcW w:w="21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控制现有炼焦行业规模278万t/a</w:t>
                  </w:r>
                </w:p>
              </w:tc>
              <w:tc>
                <w:tcPr>
                  <w:tcW w:w="182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不涉及</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66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p>
              </w:tc>
              <w:tc>
                <w:tcPr>
                  <w:tcW w:w="21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不符合园区产业布局、产业定位的现有企业</w:t>
                  </w:r>
                </w:p>
              </w:tc>
              <w:tc>
                <w:tcPr>
                  <w:tcW w:w="182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本项目为新建项目，</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是集聚区产业链配套的下游产业，与集聚区产业定位不冲突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38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5</w:t>
                  </w:r>
                </w:p>
              </w:tc>
              <w:tc>
                <w:tcPr>
                  <w:tcW w:w="66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default" w:ascii="Times New Roman" w:hAnsi="Times New Roman" w:eastAsia="宋体"/>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vertAlign w:val="baseline"/>
                      <w:lang w:val="en-US" w:eastAsia="zh-CN"/>
                      <w14:textFill>
                        <w14:solidFill>
                          <w14:schemeClr w14:val="tx1"/>
                        </w14:solidFill>
                      </w14:textFill>
                    </w:rPr>
                    <w:t>产排污要求</w:t>
                  </w:r>
                </w:p>
              </w:tc>
              <w:tc>
                <w:tcPr>
                  <w:tcW w:w="21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center"/>
                    <w:textAlignment w:val="auto"/>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万元工业增加值排水量</w:t>
                  </w:r>
                  <w:r>
                    <w:rPr>
                      <w:rFonts w:hint="default" w:ascii="Times New Roman" w:hAnsi="Times New Roman" w:eastAsia="宋体" w:cs="Arial"/>
                      <w:color w:val="000000" w:themeColor="text1"/>
                      <w:spacing w:val="0"/>
                      <w:kern w:val="0"/>
                      <w:sz w:val="21"/>
                      <w:szCs w:val="21"/>
                      <w:lang w:val="en-US" w:eastAsia="zh-CN" w:bidi="ar"/>
                      <w14:textFill>
                        <w14:solidFill>
                          <w14:schemeClr w14:val="tx1"/>
                        </w14:solidFill>
                      </w14:textFill>
                    </w:rPr>
                    <w:t>&gt;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15m</w:t>
                  </w:r>
                  <w:r>
                    <w:rPr>
                      <w:rFonts w:hint="default"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/万元的项目</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、万元工业增加值</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COD</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Arial"/>
                      <w:color w:val="000000" w:themeColor="text1"/>
                      <w:spacing w:val="0"/>
                      <w:kern w:val="0"/>
                      <w:sz w:val="21"/>
                      <w:szCs w:val="21"/>
                      <w:lang w:val="en-US" w:eastAsia="zh-CN" w:bidi="ar"/>
                      <w14:textFill>
                        <w14:solidFill>
                          <w14:schemeClr w14:val="tx1"/>
                        </w14:solidFill>
                      </w14:textFill>
                    </w:rPr>
                    <w:t>&gt;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1kg</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万元的项目</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、万元工业增加值</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排放量</w:t>
                  </w:r>
                  <w:r>
                    <w:rPr>
                      <w:rFonts w:hint="default" w:ascii="Times New Roman" w:hAnsi="Times New Roman" w:eastAsia="宋体" w:cs="Arial"/>
                      <w:color w:val="000000" w:themeColor="text1"/>
                      <w:spacing w:val="0"/>
                      <w:kern w:val="0"/>
                      <w:sz w:val="21"/>
                      <w:szCs w:val="21"/>
                      <w:lang w:val="en-US" w:eastAsia="zh-CN" w:bidi="ar"/>
                      <w14:textFill>
                        <w14:solidFill>
                          <w14:schemeClr w14:val="tx1"/>
                        </w14:solidFill>
                      </w14:textFill>
                    </w:rPr>
                    <w:t>&gt;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1kg</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万元的项目</w:t>
                  </w:r>
                </w:p>
              </w:tc>
              <w:tc>
                <w:tcPr>
                  <w:tcW w:w="182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val="0"/>
                    <w:spacing w:line="240" w:lineRule="auto"/>
                    <w:jc w:val="both"/>
                    <w:textAlignment w:val="auto"/>
                    <w:rPr>
                      <w:rFonts w:hint="eastAsia" w:ascii="Times New Roman" w:hAnsi="Times New Roman"/>
                      <w:color w:val="000000" w:themeColor="text1"/>
                      <w:spacing w:val="0"/>
                      <w:sz w:val="21"/>
                      <w:szCs w:val="21"/>
                      <w:vertAlign w:val="baseline"/>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本项目无生产废水；不排放</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SO</w:t>
                  </w:r>
                  <w:r>
                    <w:rPr>
                      <w:rFonts w:hint="default" w:ascii="Times New Roman" w:hAnsi="Times New Roman" w:eastAsia="宋体" w:cs="Times New Roman"/>
                      <w:color w:val="000000" w:themeColor="text1"/>
                      <w:spacing w:val="0"/>
                      <w:kern w:val="0"/>
                      <w:sz w:val="21"/>
                      <w:szCs w:val="21"/>
                      <w:vertAlign w:val="subscript"/>
                      <w:lang w:val="en-US" w:eastAsia="zh-CN" w:bidi="ar"/>
                      <w14:textFill>
                        <w14:solidFill>
                          <w14:schemeClr w14:val="tx1"/>
                        </w14:solidFill>
                      </w14:textFill>
                    </w:rPr>
                    <w:t>2</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spacing w:val="0"/>
                <w:sz w:val="24"/>
                <w:lang w:val="en-US" w:eastAsia="zh-CN"/>
                <w14:textFill>
                  <w14:solidFill>
                    <w14:schemeClr w14:val="tx1"/>
                  </w14:solidFill>
                </w14:textFill>
              </w:rPr>
            </w:pPr>
            <w:r>
              <w:rPr>
                <w:rFonts w:hint="default" w:ascii="Times New Roman" w:hAnsi="Times New Roman" w:cs="Times New Roman"/>
                <w:color w:val="000000" w:themeColor="text1"/>
                <w:spacing w:val="0"/>
                <w:sz w:val="24"/>
                <w:lang w:val="en-US" w:eastAsia="zh-CN"/>
                <w14:textFill>
                  <w14:solidFill>
                    <w14:schemeClr w14:val="tx1"/>
                  </w14:solidFill>
                </w14:textFill>
              </w:rPr>
              <w:t>由表1-1和1-2可知本项目符合襄城县先进制造业开发区南区（原襄城县循环经济产业集聚区）规划环评项目准入条件要求，不在规划环评负面清单之列。</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color w:val="000000" w:themeColor="text1"/>
                <w:spacing w:val="0"/>
                <w:sz w:val="24"/>
                <w14:textFill>
                  <w14:solidFill>
                    <w14:schemeClr w14:val="tx1"/>
                  </w14:solidFill>
                </w14:textFill>
              </w:rPr>
            </w:pPr>
            <w:r>
              <w:rPr>
                <w:rFonts w:hint="default" w:ascii="Times New Roman" w:hAnsi="Times New Roman" w:cs="Times New Roman"/>
                <w:color w:val="000000" w:themeColor="text1"/>
                <w:spacing w:val="0"/>
                <w:sz w:val="24"/>
                <w:lang w:val="en-US" w:eastAsia="zh-CN"/>
                <w14:textFill>
                  <w14:solidFill>
                    <w14:schemeClr w14:val="tx1"/>
                  </w14:solidFill>
                </w14:textFill>
              </w:rPr>
              <w:t>根据《襄城县循环经济产业集聚区总体发展规划（2021-2030）》，项目位于襄城县先进制造业开发区南区（原襄城县循环经济产业集聚区）南部硅碳新材料产业区，用地规划为三类工业用地。本</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项目为年收集、贮存、转运6万吨危险废物项目，是集聚区产业链的配套下游产业。项目符合《襄城县循环经济产业集聚区总体发展规划（2021-2030）环境影响报告书》环境准入清单要求。</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181" w:hRule="atLeast"/>
          <w:jc w:val="center"/>
        </w:trPr>
        <w:tc>
          <w:tcPr>
            <w:tcW w:w="594" w:type="dxa"/>
            <w:noWrap w:val="0"/>
            <w:vAlign w:val="center"/>
          </w:tcPr>
          <w:p>
            <w:pPr>
              <w:keepLines w:val="0"/>
              <w:pageBreakBefore w:val="0"/>
              <w:kinsoku/>
              <w:wordWrap w:val="0"/>
              <w:topLinePunct w:val="0"/>
              <w:autoSpaceDE w:val="0"/>
              <w:autoSpaceDN w:val="0"/>
              <w:bidi w:val="0"/>
              <w:adjustRightInd w:val="0"/>
              <w:snapToGrid w:val="0"/>
              <w:jc w:val="center"/>
              <w:rPr>
                <w:rFonts w:ascii="Times New Roman" w:hAnsi="Times New Roman"/>
                <w:color w:val="000000" w:themeColor="text1"/>
                <w:spacing w:val="0"/>
                <w:kern w:val="0"/>
                <w:sz w:val="24"/>
                <w14:textFill>
                  <w14:solidFill>
                    <w14:schemeClr w14:val="tx1"/>
                  </w14:solidFill>
                </w14:textFill>
              </w:rPr>
            </w:pPr>
            <w:r>
              <w:rPr>
                <w:rFonts w:ascii="Times New Roman" w:hAnsi="Times New Roman"/>
                <w:color w:val="000000" w:themeColor="text1"/>
                <w:spacing w:val="0"/>
                <w:kern w:val="0"/>
                <w:sz w:val="24"/>
                <w14:textFill>
                  <w14:solidFill>
                    <w14:schemeClr w14:val="tx1"/>
                  </w14:solidFill>
                </w14:textFill>
              </w:rPr>
              <w:t>其他符合性分析</w:t>
            </w:r>
          </w:p>
        </w:tc>
        <w:tc>
          <w:tcPr>
            <w:tcW w:w="8954" w:type="dxa"/>
            <w:gridSpan w:val="4"/>
            <w:noWrap w:val="0"/>
            <w:vAlign w:val="center"/>
          </w:tcPr>
          <w:p>
            <w:pPr>
              <w:keepLines w:val="0"/>
              <w:pageBreakBefore w:val="0"/>
              <w:kinsoku/>
              <w:wordWrap w:val="0"/>
              <w:topLinePunct w:val="0"/>
              <w:bidi w:val="0"/>
              <w:spacing w:line="500" w:lineRule="exact"/>
              <w:rPr>
                <w:rFonts w:ascii="Times New Roman" w:hAnsi="Times New Roman"/>
                <w:b/>
                <w:color w:val="000000" w:themeColor="text1"/>
                <w:spacing w:val="0"/>
                <w:sz w:val="24"/>
                <w:szCs w:val="20"/>
                <w14:textFill>
                  <w14:solidFill>
                    <w14:schemeClr w14:val="tx1"/>
                  </w14:solidFill>
                </w14:textFill>
              </w:rPr>
            </w:pPr>
            <w:r>
              <w:rPr>
                <w:rFonts w:hint="eastAsia" w:ascii="Times New Roman" w:hAnsi="Times New Roman"/>
                <w:b/>
                <w:color w:val="000000" w:themeColor="text1"/>
                <w:spacing w:val="0"/>
                <w:sz w:val="24"/>
                <w:szCs w:val="20"/>
                <w:lang w:val="en-US" w:eastAsia="zh-CN"/>
                <w14:textFill>
                  <w14:solidFill>
                    <w14:schemeClr w14:val="tx1"/>
                  </w14:solidFill>
                </w14:textFill>
              </w:rPr>
              <w:t>1.3产业政策</w:t>
            </w:r>
            <w:r>
              <w:rPr>
                <w:rFonts w:hint="eastAsia" w:ascii="Times New Roman" w:hAnsi="Times New Roman"/>
                <w:b/>
                <w:color w:val="000000" w:themeColor="text1"/>
                <w:spacing w:val="0"/>
                <w:sz w:val="24"/>
                <w:szCs w:val="20"/>
                <w14:textFill>
                  <w14:solidFill>
                    <w14:schemeClr w14:val="tx1"/>
                  </w14:solidFill>
                </w14:textFill>
              </w:rPr>
              <w:t>相符性分析</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bCs/>
                <w:color w:val="000000" w:themeColor="text1"/>
                <w:spacing w:val="0"/>
                <w:sz w:val="24"/>
                <w14:textFill>
                  <w14:solidFill>
                    <w14:schemeClr w14:val="tx1"/>
                  </w14:solidFill>
                </w14:textFill>
              </w:rPr>
            </w:pPr>
            <w:r>
              <w:rPr>
                <w:rFonts w:hint="eastAsia" w:ascii="Times New Roman" w:hAnsi="Times New Roman"/>
                <w:bCs/>
                <w:color w:val="000000" w:themeColor="text1"/>
                <w:spacing w:val="0"/>
                <w:sz w:val="24"/>
                <w:lang w:val="en-US" w:eastAsia="zh-CN"/>
                <w14:textFill>
                  <w14:solidFill>
                    <w14:schemeClr w14:val="tx1"/>
                  </w14:solidFill>
                </w14:textFill>
              </w:rPr>
              <w:t>经查阅《产业结构调整指导目录（2019本）》、《市场准入负面清单》（2020年版）、《河南部分工业行业淘汰落后生产工艺装备和产品目录》，本项目不属于限制类，所用生产工艺和设备不属于淘汰类中落后生产工艺装备；</w:t>
            </w:r>
            <w:r>
              <w:rPr>
                <w:rFonts w:ascii="Times New Roman" w:hAnsi="Times New Roman" w:eastAsia="宋体" w:cs="宋体"/>
                <w:color w:val="000000" w:themeColor="text1"/>
                <w:spacing w:val="0"/>
                <w:sz w:val="24"/>
                <w:szCs w:val="24"/>
                <w14:textFill>
                  <w14:solidFill>
                    <w14:schemeClr w14:val="tx1"/>
                  </w14:solidFill>
                </w14:textFill>
              </w:rPr>
              <w:t>经对照《许昌市建设项目环境准入禁止、限制区域和项目名录（</w:t>
            </w:r>
            <w:r>
              <w:rPr>
                <w:rFonts w:ascii="Times New Roman" w:hAnsi="Times New Roman" w:eastAsia="Times New Roman" w:cs="Times New Roman"/>
                <w:color w:val="000000" w:themeColor="text1"/>
                <w:spacing w:val="0"/>
                <w:sz w:val="24"/>
                <w:szCs w:val="24"/>
                <w14:textFill>
                  <w14:solidFill>
                    <w14:schemeClr w14:val="tx1"/>
                  </w14:solidFill>
                </w14:textFill>
              </w:rPr>
              <w:t>2015</w:t>
            </w:r>
            <w:r>
              <w:rPr>
                <w:rFonts w:ascii="Times New Roman" w:hAnsi="Times New Roman" w:eastAsia="宋体" w:cs="宋体"/>
                <w:color w:val="000000" w:themeColor="text1"/>
                <w:spacing w:val="0"/>
                <w:sz w:val="24"/>
                <w:szCs w:val="24"/>
                <w14:textFill>
                  <w14:solidFill>
                    <w14:schemeClr w14:val="tx1"/>
                  </w14:solidFill>
                </w14:textFill>
              </w:rPr>
              <w:t>年版）》（许环</w:t>
            </w:r>
            <w:r>
              <w:rPr>
                <w:rFonts w:ascii="Times New Roman" w:hAnsi="Times New Roman" w:eastAsia="Times New Roman" w:cs="Times New Roman"/>
                <w:color w:val="000000" w:themeColor="text1"/>
                <w:spacing w:val="0"/>
                <w:sz w:val="24"/>
                <w:szCs w:val="24"/>
                <w14:textFill>
                  <w14:solidFill>
                    <w14:schemeClr w14:val="tx1"/>
                  </w14:solidFill>
                </w14:textFill>
              </w:rPr>
              <w:t>[2014]124</w:t>
            </w:r>
            <w:r>
              <w:rPr>
                <w:rFonts w:ascii="Times New Roman" w:hAnsi="Times New Roman" w:eastAsia="宋体" w:cs="宋体"/>
                <w:color w:val="000000" w:themeColor="text1"/>
                <w:spacing w:val="0"/>
                <w:sz w:val="24"/>
                <w:szCs w:val="24"/>
                <w14:textFill>
                  <w14:solidFill>
                    <w14:schemeClr w14:val="tx1"/>
                  </w14:solidFill>
                </w14:textFill>
              </w:rPr>
              <w:t>号），本项目不属于禁止类和限制类项目，不在禁止、限制区域；目前项目已在襄城县循环经济产业集聚区管理委员会备案，</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项目代码</w:t>
            </w:r>
            <w:r>
              <w:rPr>
                <w:rFonts w:ascii="Times New Roman" w:hAnsi="Times New Roman" w:eastAsia="宋体" w:cs="宋体"/>
                <w:color w:val="000000" w:themeColor="text1"/>
                <w:spacing w:val="0"/>
                <w:sz w:val="24"/>
                <w:szCs w:val="24"/>
                <w14:textFill>
                  <w14:solidFill>
                    <w14:schemeClr w14:val="tx1"/>
                  </w14:solidFill>
                </w14:textFill>
              </w:rPr>
              <w:t>：</w:t>
            </w:r>
            <w:r>
              <w:rPr>
                <w:rFonts w:hint="eastAsia" w:ascii="Times New Roman" w:hAnsi="Times New Roman" w:eastAsia="宋体" w:cs="宋体"/>
                <w:color w:val="000000" w:themeColor="text1"/>
                <w:spacing w:val="0"/>
                <w:sz w:val="24"/>
                <w:szCs w:val="24"/>
                <w14:textFill>
                  <w14:solidFill>
                    <w14:schemeClr w14:val="tx1"/>
                  </w14:solidFill>
                </w14:textFill>
              </w:rPr>
              <w:t>2308-411025-04-01-824412</w:t>
            </w:r>
            <w:r>
              <w:rPr>
                <w:rFonts w:ascii="Times New Roman" w:hAnsi="Times New Roman" w:eastAsia="宋体" w:cs="宋体"/>
                <w:color w:val="000000" w:themeColor="text1"/>
                <w:spacing w:val="0"/>
                <w:sz w:val="24"/>
                <w:szCs w:val="24"/>
                <w14:textFill>
                  <w14:solidFill>
                    <w14:schemeClr w14:val="tx1"/>
                  </w14:solidFill>
                </w14:textFill>
              </w:rPr>
              <w:t>（备案文件见附件）</w:t>
            </w:r>
            <w:r>
              <w:rPr>
                <w:rFonts w:hint="eastAsia" w:ascii="Times New Roman" w:hAnsi="Times New Roman"/>
                <w:bCs/>
                <w:color w:val="000000" w:themeColor="text1"/>
                <w:spacing w:val="0"/>
                <w:sz w:val="24"/>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500" w:lineRule="exact"/>
              <w:ind w:right="0"/>
              <w:jc w:val="both"/>
              <w:textAlignment w:val="auto"/>
              <w:rPr>
                <w:rFonts w:hint="default" w:ascii="Times New Roman" w:hAnsi="Times New Roman" w:eastAsia="宋体"/>
                <w:b/>
                <w:bCs w:val="0"/>
                <w:color w:val="000000" w:themeColor="text1"/>
                <w:spacing w:val="0"/>
                <w:sz w:val="24"/>
                <w:lang w:val="en-US" w:eastAsia="zh-CN"/>
                <w14:textFill>
                  <w14:solidFill>
                    <w14:schemeClr w14:val="tx1"/>
                  </w14:solidFill>
                </w14:textFill>
              </w:rPr>
            </w:pPr>
            <w:r>
              <w:rPr>
                <w:rFonts w:hint="eastAsia" w:ascii="Times New Roman" w:hAnsi="Times New Roman"/>
                <w:b/>
                <w:bCs w:val="0"/>
                <w:color w:val="000000" w:themeColor="text1"/>
                <w:spacing w:val="0"/>
                <w:sz w:val="24"/>
                <w:lang w:val="en-US" w:eastAsia="zh-CN"/>
                <w14:textFill>
                  <w14:solidFill>
                    <w14:schemeClr w14:val="tx1"/>
                  </w14:solidFill>
                </w14:textFill>
              </w:rPr>
              <w:t>1.4项目与《河南省生态环境分区管控总体要求（试行）》（豫环函[2021]171号）相符性</w:t>
            </w:r>
          </w:p>
          <w:p>
            <w:pPr>
              <w:keepLines w:val="0"/>
              <w:pageBreakBefore w:val="0"/>
              <w:kinsoku/>
              <w:wordWrap w:val="0"/>
              <w:topLinePunct w:val="0"/>
              <w:bidi w:val="0"/>
              <w:spacing w:line="500" w:lineRule="exact"/>
              <w:ind w:firstLine="480" w:firstLineChars="200"/>
              <w:rPr>
                <w:rFonts w:hint="eastAsia" w:ascii="Times New Roman" w:hAnsi="Times New Roman"/>
                <w:bCs/>
                <w:color w:val="000000" w:themeColor="text1"/>
                <w:spacing w:val="0"/>
                <w:sz w:val="24"/>
                <w14:textFill>
                  <w14:solidFill>
                    <w14:schemeClr w14:val="tx1"/>
                  </w14:solidFill>
                </w14:textFill>
              </w:rPr>
            </w:pPr>
            <w:r>
              <w:rPr>
                <w:rFonts w:hint="eastAsia" w:ascii="Times New Roman" w:hAnsi="Times New Roman"/>
                <w:bCs/>
                <w:color w:val="000000" w:themeColor="text1"/>
                <w:spacing w:val="0"/>
                <w:sz w:val="24"/>
                <w14:textFill>
                  <w14:solidFill>
                    <w14:schemeClr w14:val="tx1"/>
                  </w14:solidFill>
                </w14:textFill>
              </w:rPr>
              <w:t>项目与《河南省生态环境分区管控总体要求（试行）》（豫环函[2021]171号）相符性分析如下：</w:t>
            </w:r>
          </w:p>
          <w:p>
            <w:pPr>
              <w:keepLines w:val="0"/>
              <w:pageBreakBefore w:val="0"/>
              <w:kinsoku/>
              <w:wordWrap w:val="0"/>
              <w:topLinePunct w:val="0"/>
              <w:bidi w:val="0"/>
              <w:spacing w:line="240" w:lineRule="auto"/>
              <w:jc w:val="center"/>
              <w:rPr>
                <w:rFonts w:hint="default" w:ascii="Times New Roman" w:hAnsi="Times New Roman" w:eastAsia="宋体"/>
                <w:b/>
                <w:bCs w:val="0"/>
                <w:color w:val="000000" w:themeColor="text1"/>
                <w:spacing w:val="0"/>
                <w:sz w:val="24"/>
                <w:lang w:val="en-US" w:eastAsia="zh-CN"/>
                <w14:textFill>
                  <w14:solidFill>
                    <w14:schemeClr w14:val="tx1"/>
                  </w14:solidFill>
                </w14:textFill>
              </w:rPr>
            </w:pPr>
            <w:r>
              <w:rPr>
                <w:rFonts w:hint="eastAsia" w:ascii="Times New Roman" w:hAnsi="Times New Roman"/>
                <w:b/>
                <w:bCs w:val="0"/>
                <w:color w:val="000000" w:themeColor="text1"/>
                <w:spacing w:val="0"/>
                <w:sz w:val="21"/>
                <w:szCs w:val="21"/>
                <w:lang w:val="en-US" w:eastAsia="zh-CN"/>
                <w14:textFill>
                  <w14:solidFill>
                    <w14:schemeClr w14:val="tx1"/>
                  </w14:solidFill>
                </w14:textFill>
              </w:rPr>
              <w:t>表1-3  项目与河南省生态环境分区管控总体要求相符性</w:t>
            </w:r>
          </w:p>
          <w:tbl>
            <w:tblPr>
              <w:tblStyle w:val="18"/>
              <w:tblW w:w="4997"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394"/>
              <w:gridCol w:w="2443"/>
              <w:gridCol w:w="2443"/>
              <w:gridCol w:w="245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管控内容</w:t>
                  </w:r>
                </w:p>
              </w:tc>
              <w:tc>
                <w:tcPr>
                  <w:tcW w:w="1399" w:type="pct"/>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准入要求</w:t>
                  </w:r>
                </w:p>
              </w:tc>
              <w:tc>
                <w:tcPr>
                  <w:tcW w:w="1399" w:type="pct"/>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本项目</w:t>
                  </w:r>
                </w:p>
              </w:tc>
              <w:tc>
                <w:tcPr>
                  <w:tcW w:w="1403" w:type="pct"/>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河南省产业发展总体准入要求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通用</w:t>
                  </w:r>
                </w:p>
              </w:tc>
              <w:tc>
                <w:tcPr>
                  <w:tcW w:w="1399"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禁止新改扩建《产业结构调整指导目录（2019 年本）》明确的淘汰类项目；禁止引入《市场准入负面清单（2020 年版）》禁止准入类事项</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1399" w:type="pct"/>
                  <w:vMerge w:val="restart"/>
                  <w:tcBorders>
                    <w:top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本项目属于《产业结构调整指导目录（2019 年本）》允许类，不在《市场准入负面清单（2020 年版）》禁止准入类之列</w:t>
                  </w:r>
                </w:p>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本项目主要从事危险废物收集、储存、转运，有利于</w:t>
                  </w:r>
                  <w:r>
                    <w:rPr>
                      <w:rFonts w:hint="default" w:ascii="Times New Roman" w:hAnsi="Times New Roman" w:eastAsia="宋体" w:cs="Times New Roman"/>
                      <w:color w:val="000000" w:themeColor="text1"/>
                      <w:spacing w:val="0"/>
                      <w:sz w:val="21"/>
                      <w:szCs w:val="21"/>
                      <w14:textFill>
                        <w14:solidFill>
                          <w14:schemeClr w14:val="tx1"/>
                        </w14:solidFill>
                      </w14:textFill>
                    </w:rPr>
                    <w:t>推进环保治理</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促进企业间资源循环链接和综合利用</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有利于提升化工园区危险废物收集处置能力</w:t>
                  </w:r>
                </w:p>
              </w:tc>
              <w:tc>
                <w:tcPr>
                  <w:tcW w:w="1403" w:type="pct"/>
                  <w:vMerge w:val="restart"/>
                  <w:tcBorders>
                    <w:top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vMerge w:val="restart"/>
                  <w:tcBorders>
                    <w:top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产业集聚区（园区）</w:t>
                  </w:r>
                </w:p>
              </w:tc>
              <w:tc>
                <w:tcPr>
                  <w:tcW w:w="1399"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加快完善产业集聚区（园区）集中供热、污水集中处理等管网和垃圾收储运体系，推进环保治理、喷涂、印染、电镀等设施集中布局和共享，促进企业间资源循环链接和综合利用</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1399" w:type="pct"/>
                  <w:vMerge w:val="continue"/>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1403" w:type="pct"/>
                  <w:vMerge w:val="continue"/>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vMerge w:val="continue"/>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p>
              </w:tc>
              <w:tc>
                <w:tcPr>
                  <w:tcW w:w="1399"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大幅提升化工园区废水、废气、危险废物收集处置能力和园区清洁能源供应以及环境监测监控能力等标准</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1399" w:type="pct"/>
                  <w:vMerge w:val="continue"/>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p>
              </w:tc>
              <w:tc>
                <w:tcPr>
                  <w:tcW w:w="1403" w:type="pct"/>
                  <w:vMerge w:val="continue"/>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tcBorders>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河南省大气生态环境总体准入要求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空间布局约束</w:t>
                  </w:r>
                </w:p>
              </w:tc>
              <w:tc>
                <w:tcPr>
                  <w:tcW w:w="1399"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重点地区要严格限制石化、化工、包装印刷、工业涂装等高VOCs排放建设项目；新建涉VOCs排放的工业企业要入园区；实行区域内VOCs排放等量或倍量削减替代</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1399" w:type="pct"/>
                  <w:vMerge w:val="restart"/>
                  <w:tcBorders>
                    <w:top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本项目</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收集、存储废矿物油等危险废物</w:t>
                  </w:r>
                  <w:r>
                    <w:rPr>
                      <w:rFonts w:hint="default" w:ascii="Times New Roman" w:hAnsi="Times New Roman" w:eastAsia="宋体" w:cs="Times New Roman"/>
                      <w:color w:val="000000" w:themeColor="text1"/>
                      <w:spacing w:val="0"/>
                      <w:sz w:val="21"/>
                      <w:szCs w:val="21"/>
                      <w14:textFill>
                        <w14:solidFill>
                          <w14:schemeClr w14:val="tx1"/>
                        </w14:solidFill>
                      </w14:textFill>
                    </w:rPr>
                    <w:t>，项目选址位于园区内，产生的VOCs采取活性炭吸附</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+催化燃烧装置进行</w:t>
                  </w:r>
                  <w:r>
                    <w:rPr>
                      <w:rFonts w:hint="default" w:ascii="Times New Roman" w:hAnsi="Times New Roman" w:eastAsia="宋体" w:cs="Times New Roman"/>
                      <w:color w:val="000000" w:themeColor="text1"/>
                      <w:spacing w:val="0"/>
                      <w:sz w:val="21"/>
                      <w:szCs w:val="21"/>
                      <w14:textFill>
                        <w14:solidFill>
                          <w14:schemeClr w14:val="tx1"/>
                        </w14:solidFill>
                      </w14:textFill>
                    </w:rPr>
                    <w:t>处理，经15m高排气筒外排，VOCs有合理的替代源</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1403" w:type="pct"/>
                  <w:vMerge w:val="restart"/>
                  <w:tcBorders>
                    <w:top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污染物排放</w:t>
                  </w:r>
                </w:p>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管控</w:t>
                  </w:r>
                </w:p>
              </w:tc>
              <w:tc>
                <w:tcPr>
                  <w:tcW w:w="1399"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综合整治VOCs排放，新改扩建涉VOCs排放项目，应加强废气收集，安装高效治理设施</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1399" w:type="pct"/>
                  <w:vMerge w:val="continue"/>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p>
              </w:tc>
              <w:tc>
                <w:tcPr>
                  <w:tcW w:w="1403" w:type="pct"/>
                  <w:vMerge w:val="continue"/>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河南省水生态环境总体准入要求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空间布局约束</w:t>
                  </w:r>
                </w:p>
              </w:tc>
              <w:tc>
                <w:tcPr>
                  <w:tcW w:w="1399"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在属于水污染防治重点控制单元的区域内，不予审批耗水量大、废水排放量大的煤化工、化学原料药及生物发酵制药、制浆造纸、制革及毛皮鞣制、印染等行业单纯新建和单纯扩大产能的项目。在省辖黄河和淮河流域干流沿岸，严格控制石油化工、化学原料和化学制品制造、制浆造纸、医药制造、化学纤维制造、有色金属冶炼、纺织印染等项目环境风险，合理布局生产装置及危险化学品仓储等设施。</w:t>
                  </w:r>
                </w:p>
              </w:tc>
              <w:tc>
                <w:tcPr>
                  <w:tcW w:w="1399" w:type="pct"/>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本项目位于襄城县先进制造业开发区南区（原襄城县循环经济产业集聚区），选址不在淮河流域干流沿岸，环境风险为较小，</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厂区内</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仓储等设施，合理布设</w:t>
                  </w:r>
                </w:p>
              </w:tc>
              <w:tc>
                <w:tcPr>
                  <w:tcW w:w="1403" w:type="pct"/>
                  <w:vMerge w:val="restart"/>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污染物排放管控</w:t>
                  </w:r>
                </w:p>
              </w:tc>
              <w:tc>
                <w:tcPr>
                  <w:tcW w:w="1399" w:type="pct"/>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新改扩建造纸、焦化、氮肥、农副食品加工、毛皮制革、印染、有色金属、原料药制造、电镀等重点水污染物排放行业建设项目实行主要污染物排放等量或减量置换。</w:t>
                  </w:r>
                </w:p>
              </w:tc>
              <w:tc>
                <w:tcPr>
                  <w:tcW w:w="1399" w:type="pct"/>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本项目产生的生活污水经化粪池处理后综合利用；</w:t>
                  </w: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无生产废水</w:t>
                  </w:r>
                </w:p>
              </w:tc>
              <w:tc>
                <w:tcPr>
                  <w:tcW w:w="1403" w:type="pct"/>
                  <w:vMerge w:val="continue"/>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5000" w:type="pct"/>
                  <w:gridSpan w:val="4"/>
                  <w:tcBorders>
                    <w:top w:val="single" w:color="auto" w:sz="4" w:space="0"/>
                    <w:bottom w:val="single" w:color="auto" w:sz="4"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河南省土壤生态环境总体准入要求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3" w:hRule="atLeast"/>
              </w:trPr>
              <w:tc>
                <w:tcPr>
                  <w:tcW w:w="798" w:type="pct"/>
                  <w:tcBorders>
                    <w:top w:val="single" w:color="auto" w:sz="4" w:space="0"/>
                    <w:bottom w:val="single" w:color="auto" w:sz="12"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建设用地</w:t>
                  </w:r>
                </w:p>
              </w:tc>
              <w:tc>
                <w:tcPr>
                  <w:tcW w:w="1399" w:type="pct"/>
                  <w:tcBorders>
                    <w:top w:val="single" w:color="auto" w:sz="4" w:space="0"/>
                    <w:bottom w:val="single" w:color="auto" w:sz="12"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both"/>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生产、使用、贮存、运输、回收、处置、排放有毒有害物质的单位和个人，应当采取有效措施，防止有毒有害物质渗漏、流失、扬散，避免土壤受到污染</w:t>
                  </w:r>
                  <w:r>
                    <w:rPr>
                      <w:rFonts w:hint="eastAsia" w:ascii="Times New Roman" w:hAnsi="Times New Roman" w:eastAsia="宋体" w:cs="Times New Roman"/>
                      <w:color w:val="000000" w:themeColor="text1"/>
                      <w:spacing w:val="0"/>
                      <w:sz w:val="21"/>
                      <w:szCs w:val="21"/>
                      <w:lang w:eastAsia="zh-CN"/>
                      <w14:textFill>
                        <w14:solidFill>
                          <w14:schemeClr w14:val="tx1"/>
                        </w14:solidFill>
                      </w14:textFill>
                    </w:rPr>
                    <w:t>。</w:t>
                  </w:r>
                </w:p>
              </w:tc>
              <w:tc>
                <w:tcPr>
                  <w:tcW w:w="1399" w:type="pct"/>
                  <w:tcBorders>
                    <w:bottom w:val="single" w:color="auto" w:sz="12"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项目通过采取分区防渗、加强环境管理、编制应急预案等措施，有效避免土壤环境污染</w:t>
                  </w:r>
                </w:p>
              </w:tc>
              <w:tc>
                <w:tcPr>
                  <w:tcW w:w="1403" w:type="pct"/>
                  <w:tcBorders>
                    <w:bottom w:val="single" w:color="auto" w:sz="12" w:space="0"/>
                  </w:tcBorders>
                  <w:noWrap w:val="0"/>
                  <w:tcMar>
                    <w:top w:w="57" w:type="dxa"/>
                    <w:left w:w="57" w:type="dxa"/>
                    <w:bottom w:w="57" w:type="dxa"/>
                    <w:right w:w="57" w:type="dxa"/>
                  </w:tcMar>
                  <w:vAlign w:val="center"/>
                </w:tcPr>
                <w:p>
                  <w:pPr>
                    <w:keepLines w:val="0"/>
                    <w:pageBreakBefore w:val="0"/>
                    <w:kinsoku/>
                    <w:wordWrap w:val="0"/>
                    <w:topLinePunct w:val="0"/>
                    <w:bidi w:val="0"/>
                    <w:spacing w:line="240" w:lineRule="auto"/>
                    <w:jc w:val="cente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bCs/>
                <w:color w:val="000000" w:themeColor="text1"/>
                <w:spacing w:val="0"/>
                <w:sz w:val="24"/>
                <w:szCs w:val="24"/>
                <w:lang w:eastAsia="zh-CN"/>
                <w14:textFill>
                  <w14:solidFill>
                    <w14:schemeClr w14:val="tx1"/>
                  </w14:solidFill>
                </w14:textFill>
              </w:rPr>
            </w:pPr>
            <w:r>
              <w:rPr>
                <w:rFonts w:hint="eastAsia" w:ascii="Times New Roman" w:hAnsi="Times New Roman"/>
                <w:color w:val="000000" w:themeColor="text1"/>
                <w:spacing w:val="0"/>
                <w:sz w:val="24"/>
                <w:szCs w:val="24"/>
                <w:lang w:val="en-US" w:eastAsia="zh-CN"/>
                <w14:textFill>
                  <w14:solidFill>
                    <w14:schemeClr w14:val="tx1"/>
                  </w14:solidFill>
                </w14:textFill>
              </w:rPr>
              <w:t>本项目位于襄城县先进制造业开发区南区（原襄城县循环经济产业集聚区），属于工业用地，属于《产业结构调整指导目录（2019 年本）》允许项目，不属于《市场准入负面清单（2020年版）》禁止项目，不属于高耗能高污染项目，项目建设符合《河南省生态环境分区管控总体要求（试行）》</w:t>
            </w:r>
            <w:r>
              <w:rPr>
                <w:rFonts w:hint="default" w:ascii="Times New Roman" w:hAnsi="Times New Roman"/>
                <w:color w:val="000000" w:themeColor="text1"/>
                <w:spacing w:val="0"/>
                <w:sz w:val="24"/>
                <w:szCs w:val="24"/>
                <w:lang w:val="en-US"/>
                <w14:textFill>
                  <w14:solidFill>
                    <w14:schemeClr w14:val="tx1"/>
                  </w14:solidFill>
                </w14:textFill>
              </w:rPr>
              <mc:AlternateContent>
                <mc:Choice Requires="wps">
                  <w:drawing>
                    <wp:anchor distT="0" distB="0" distL="114300" distR="114300" simplePos="0" relativeHeight="251659264" behindDoc="0" locked="0" layoutInCell="1" allowOverlap="1">
                      <wp:simplePos x="0" y="0"/>
                      <wp:positionH relativeFrom="page">
                        <wp:posOffset>-416560</wp:posOffset>
                      </wp:positionH>
                      <wp:positionV relativeFrom="page">
                        <wp:posOffset>6350</wp:posOffset>
                      </wp:positionV>
                      <wp:extent cx="6350" cy="8359140"/>
                      <wp:effectExtent l="0" t="0" r="8890" b="7620"/>
                      <wp:wrapNone/>
                      <wp:docPr id="1" name="矩形 2"/>
                      <wp:cNvGraphicFramePr/>
                      <a:graphic xmlns:a="http://schemas.openxmlformats.org/drawingml/2006/main">
                        <a:graphicData uri="http://schemas.microsoft.com/office/word/2010/wordprocessingShape">
                          <wps:wsp>
                            <wps:cNvSpPr/>
                            <wps:spPr>
                              <a:xfrm>
                                <a:off x="0" y="0"/>
                                <a:ext cx="6350" cy="8359140"/>
                              </a:xfrm>
                              <a:prstGeom prst="rect">
                                <a:avLst/>
                              </a:prstGeom>
                              <a:solidFill>
                                <a:srgbClr val="000000"/>
                              </a:solidFill>
                              <a:ln>
                                <a:noFill/>
                              </a:ln>
                            </wps:spPr>
                            <wps:bodyPr wrap="square" upright="1"/>
                          </wps:wsp>
                        </a:graphicData>
                      </a:graphic>
                    </wp:anchor>
                  </w:drawing>
                </mc:Choice>
                <mc:Fallback>
                  <w:pict>
                    <v:rect id="矩形 2" o:spid="_x0000_s1026" o:spt="1" style="position:absolute;left:0pt;margin-left:-32.8pt;margin-top:0.5pt;height:658.2pt;width:0.5pt;mso-position-horizontal-relative:page;mso-position-vertical-relative:page;z-index:251659264;mso-width-relative:page;mso-height-relative:page;" fillcolor="#000000" filled="t" stroked="f" coordsize="21600,21600" o:gfxdata="UEsDBAoAAAAAAIdO4kAAAAAAAAAAAAAAAAAEAAAAZHJzL1BLAwQUAAAACACHTuJATrj5AdcAAAAK&#10;AQAADwAAAGRycy9kb3ducmV2LnhtbE2Py07DMBBF90j8gzVI7FInJQ0lxKlUJJZItLCgOycekqjx&#10;ONjuA76eYVWWR/fqPqrV2Y7iiD4MjhRksxQEUuvMQJ2C97fnZAkiRE1Gj45QwTcGWNXXV5UujTvR&#10;Bo/b2AkOoVBqBX2MUyllaHu0OszchMTap/NWR0bfSeP1icPtKOdpWkirB+KGXk/41GO73x6sgvXD&#10;cv31mtPLz6bZ4e6j2S/mPlXq9iZLH0FEPMeLGf7m83SoeVPjDmSCGBUkxaJgKwt8ifWkyJkb5rvs&#10;PgdZV/L/hfoXUEsDBBQAAAAIAIdO4kBDbtiruwEAAGsDAAAOAAAAZHJzL2Uyb0RvYy54bWytU81u&#10;EzEQviPxDpbvxElKq7LKpgeickFQqfQBHK+9a8l/zDjZ5GmQuPEQPA7iNRh7Qwrl0gN78M54xt/M&#10;9429ujl4x/Ya0MbQ8sVszpkOKnY29C1/+HT76pozzDJ00sWgW37UyG/WL1+sxtToZRyi6zQwAgnY&#10;jKnlQ86pEQLVoL3EWUw6UNBE8DKTC73oQI6E7p1YzudXYozQJYhKI9LuZgryEyI8BzAaY5XeRLXz&#10;OuQJFbSTmSjhYBPyde3WGK3yR2NQZ+ZaTkxzXakI2duyivVKNj3INFh1akE+p4UnnLy0gYqeoTYy&#10;S7YD+w+UtwoiRpNnKnoxEamKEIvF/Ik294NMunIhqTGdRcf/B6s+7O+A2Y5uAmdBehr4zy/ffnz/&#10;ypZFmzFhQyn36Q5OHpJZiB4M+PInCuxQ9Tye9dSHzBRtXl1cks6KAtcXl28Wr6vc4vFsAszvdPSs&#10;GC0HmlYVUe7fY6Z6lPo7pZTC6Gx3a52rDvTbtw7YXpbJ1q80TEf+SnOhJIdYjk3hsiMKr4lJsbax&#10;O5IKI12DluPnnQTN2S6B7Qdqa1FxSx7NoFY43Zcy5D/9ivv4Rta/AF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CsEAABbQ29udGVudF9UeXBlc10u&#10;eG1sUEsBAhQACgAAAAAAh07iQAAAAAAAAAAAAAAAAAYAAAAAAAAAAAAQAAAADQMAAF9yZWxzL1BL&#10;AQIUABQAAAAIAIdO4kCKFGY80QAAAJQBAAALAAAAAAAAAAEAIAAAADEDAABfcmVscy8ucmVsc1BL&#10;AQIUAAoAAAAAAIdO4kAAAAAAAAAAAAAAAAAEAAAAAAAAAAAAEAAAAAAAAABkcnMvUEsBAhQAFAAA&#10;AAgAh07iQE64+QHXAAAACgEAAA8AAAAAAAAAAQAgAAAAIgAAAGRycy9kb3ducmV2LnhtbFBLAQIU&#10;ABQAAAAIAIdO4kBDbtiruwEAAGsDAAAOAAAAAAAAAAEAIAAAACYBAABkcnMvZTJvRG9jLnhtbFBL&#10;BQYAAAAABgAGAFkBAABTBQAAAAA=&#10;">
                      <v:fill on="t" focussize="0,0"/>
                      <v:stroke on="f"/>
                      <v:imagedata o:title=""/>
                      <o:lock v:ext="edit" aspectratio="f"/>
                    </v:rect>
                  </w:pict>
                </mc:Fallback>
              </mc:AlternateContent>
            </w:r>
            <w:r>
              <w:rPr>
                <w:rFonts w:hint="eastAsia" w:ascii="Times New Roman" w:hAnsi="Times New Roman" w:eastAsia="宋体" w:cs="宋体"/>
                <w:color w:val="000000" w:themeColor="text1"/>
                <w:spacing w:val="0"/>
                <w:sz w:val="24"/>
                <w:szCs w:val="24"/>
                <w:lang w:eastAsia="zh-CN"/>
                <w14:textFill>
                  <w14:solidFill>
                    <w14:schemeClr w14:val="tx1"/>
                  </w14:solidFill>
                </w14:textFill>
              </w:rPr>
              <w:t>。</w:t>
            </w:r>
          </w:p>
          <w:p>
            <w:pPr>
              <w:keepLines w:val="0"/>
              <w:pageBreakBefore w:val="0"/>
              <w:kinsoku/>
              <w:wordWrap w:val="0"/>
              <w:topLinePunct w:val="0"/>
              <w:bidi w:val="0"/>
              <w:spacing w:line="500" w:lineRule="exact"/>
              <w:rPr>
                <w:rFonts w:hint="default" w:ascii="Times New Roman" w:hAnsi="Times New Roman" w:eastAsia="宋体"/>
                <w:b/>
                <w:bCs w:val="0"/>
                <w:color w:val="000000" w:themeColor="text1"/>
                <w:spacing w:val="0"/>
                <w:sz w:val="24"/>
                <w:lang w:val="en-US" w:eastAsia="zh-CN"/>
                <w14:textFill>
                  <w14:solidFill>
                    <w14:schemeClr w14:val="tx1"/>
                  </w14:solidFill>
                </w14:textFill>
              </w:rPr>
            </w:pPr>
            <w:r>
              <w:rPr>
                <w:rFonts w:hint="eastAsia" w:ascii="Times New Roman" w:hAnsi="Times New Roman"/>
                <w:b/>
                <w:bCs w:val="0"/>
                <w:color w:val="000000" w:themeColor="text1"/>
                <w:spacing w:val="0"/>
                <w:sz w:val="24"/>
                <w:lang w:val="en-US" w:eastAsia="zh-CN"/>
                <w14:textFill>
                  <w14:solidFill>
                    <w14:schemeClr w14:val="tx1"/>
                  </w14:solidFill>
                </w14:textFill>
              </w:rPr>
              <w:t>1.5 与“三线一单”相符性分析</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default" w:ascii="Times New Roman" w:hAnsi="Times New Roman" w:eastAsia="宋体" w:cs="宋体"/>
                <w:color w:val="000000" w:themeColor="text1"/>
                <w:spacing w:val="0"/>
                <w:sz w:val="24"/>
                <w:szCs w:val="24"/>
                <w:lang w:val="en-US"/>
                <w14:textFill>
                  <w14:solidFill>
                    <w14:schemeClr w14:val="tx1"/>
                  </w14:solidFill>
                </w14:textFill>
              </w:rPr>
            </w:pPr>
            <w:r>
              <w:rPr>
                <w:rFonts w:ascii="Times New Roman" w:hAnsi="Times New Roman" w:eastAsia="宋体" w:cs="宋体"/>
                <w:color w:val="000000" w:themeColor="text1"/>
                <w:spacing w:val="0"/>
                <w:sz w:val="24"/>
                <w:szCs w:val="24"/>
                <w14:textFill>
                  <w14:solidFill>
                    <w14:schemeClr w14:val="tx1"/>
                  </w14:solidFill>
                </w14:textFill>
              </w:rPr>
              <w:t>根据《</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许昌市</w:t>
            </w:r>
            <w:r>
              <w:rPr>
                <w:rFonts w:ascii="Times New Roman" w:hAnsi="Times New Roman" w:eastAsia="宋体" w:cs="宋体"/>
                <w:color w:val="000000" w:themeColor="text1"/>
                <w:spacing w:val="0"/>
                <w:sz w:val="24"/>
                <w:szCs w:val="24"/>
                <w14:textFill>
                  <w14:solidFill>
                    <w14:schemeClr w14:val="tx1"/>
                  </w14:solidFill>
                </w14:textFill>
              </w:rPr>
              <w:t>人民政府关于实施</w:t>
            </w:r>
            <w:r>
              <w:rPr>
                <w:rFonts w:hint="eastAsia" w:ascii="Times New Roman" w:hAnsi="Times New Roman" w:eastAsia="宋体" w:cs="Times New Roman"/>
                <w:color w:val="000000" w:themeColor="text1"/>
                <w:spacing w:val="0"/>
                <w:sz w:val="24"/>
                <w:szCs w:val="24"/>
                <w:lang w:eastAsia="zh-CN"/>
                <w14:textFill>
                  <w14:solidFill>
                    <w14:schemeClr w14:val="tx1"/>
                  </w14:solidFill>
                </w14:textFill>
              </w:rPr>
              <w:t>”</w:t>
            </w:r>
            <w:r>
              <w:rPr>
                <w:rFonts w:ascii="Times New Roman" w:hAnsi="Times New Roman" w:eastAsia="宋体" w:cs="宋体"/>
                <w:color w:val="000000" w:themeColor="text1"/>
                <w:spacing w:val="0"/>
                <w:sz w:val="24"/>
                <w:szCs w:val="24"/>
                <w14:textFill>
                  <w14:solidFill>
                    <w14:schemeClr w14:val="tx1"/>
                  </w14:solidFill>
                </w14:textFill>
              </w:rPr>
              <w:t>三线一单</w:t>
            </w:r>
            <w:r>
              <w:rPr>
                <w:rFonts w:hint="eastAsia" w:ascii="Times New Roman" w:hAnsi="Times New Roman" w:eastAsia="宋体" w:cs="宋体"/>
                <w:color w:val="000000" w:themeColor="text1"/>
                <w:spacing w:val="0"/>
                <w:sz w:val="24"/>
                <w:szCs w:val="24"/>
                <w:lang w:eastAsia="zh-CN"/>
                <w14:textFill>
                  <w14:solidFill>
                    <w14:schemeClr w14:val="tx1"/>
                  </w14:solidFill>
                </w14:textFill>
              </w:rPr>
              <w:t>”</w:t>
            </w:r>
            <w:r>
              <w:rPr>
                <w:rFonts w:ascii="Times New Roman" w:hAnsi="Times New Roman" w:eastAsia="宋体" w:cs="宋体"/>
                <w:color w:val="000000" w:themeColor="text1"/>
                <w:spacing w:val="0"/>
                <w:sz w:val="24"/>
                <w:szCs w:val="24"/>
                <w14:textFill>
                  <w14:solidFill>
                    <w14:schemeClr w14:val="tx1"/>
                  </w14:solidFill>
                </w14:textFill>
              </w:rPr>
              <w:t>生态环境分区管控的意见》（</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许</w:t>
            </w:r>
            <w:r>
              <w:rPr>
                <w:rFonts w:ascii="Times New Roman" w:hAnsi="Times New Roman" w:eastAsia="宋体" w:cs="宋体"/>
                <w:color w:val="000000" w:themeColor="text1"/>
                <w:spacing w:val="0"/>
                <w:sz w:val="24"/>
                <w:szCs w:val="24"/>
                <w14:textFill>
                  <w14:solidFill>
                    <w14:schemeClr w14:val="tx1"/>
                  </w14:solidFill>
                </w14:textFill>
              </w:rPr>
              <w:t>政</w:t>
            </w:r>
            <w:r>
              <w:rPr>
                <w:rFonts w:ascii="Times New Roman" w:hAnsi="Times New Roman" w:eastAsia="Times New Roman" w:cs="Times New Roman"/>
                <w:color w:val="000000" w:themeColor="text1"/>
                <w:spacing w:val="0"/>
                <w:sz w:val="24"/>
                <w:szCs w:val="24"/>
                <w14:textFill>
                  <w14:solidFill>
                    <w14:schemeClr w14:val="tx1"/>
                  </w14:solidFill>
                </w14:textFill>
              </w:rPr>
              <w:t>[202</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1</w:t>
            </w:r>
            <w:r>
              <w:rPr>
                <w:rFonts w:ascii="Times New Roman" w:hAnsi="Times New Roman" w:eastAsia="Times New Roman" w:cs="Times New Roman"/>
                <w:color w:val="000000" w:themeColor="text1"/>
                <w:spacing w:val="0"/>
                <w:sz w:val="24"/>
                <w:szCs w:val="24"/>
                <w14:textFill>
                  <w14:solidFill>
                    <w14:schemeClr w14:val="tx1"/>
                  </w14:solidFill>
                </w14:textFill>
              </w:rPr>
              <w:t>]</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18</w:t>
            </w:r>
            <w:r>
              <w:rPr>
                <w:rFonts w:ascii="Times New Roman" w:hAnsi="Times New Roman" w:eastAsia="宋体" w:cs="宋体"/>
                <w:color w:val="000000" w:themeColor="text1"/>
                <w:spacing w:val="0"/>
                <w:sz w:val="24"/>
                <w:szCs w:val="24"/>
                <w14:textFill>
                  <w14:solidFill>
                    <w14:schemeClr w14:val="tx1"/>
                  </w14:solidFill>
                </w14:textFill>
              </w:rPr>
              <w:t>号）、《</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许昌市生态环境局关于发布《许昌市“三线一单生态环境准入清单（试行）”》的函</w:t>
            </w:r>
            <w:r>
              <w:rPr>
                <w:rFonts w:ascii="Times New Roman" w:hAnsi="Times New Roman" w:eastAsia="宋体" w:cs="宋体"/>
                <w:color w:val="000000" w:themeColor="text1"/>
                <w:spacing w:val="0"/>
                <w:sz w:val="24"/>
                <w:szCs w:val="24"/>
                <w14:textFill>
                  <w14:solidFill>
                    <w14:schemeClr w14:val="tx1"/>
                  </w14:solidFill>
                </w14:textFill>
              </w:rPr>
              <w:t>》（</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许环函</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w:t>
            </w:r>
            <w:r>
              <w:rPr>
                <w:rFonts w:hint="default" w:ascii="Times New Roman" w:hAnsi="Times New Roman" w:eastAsia="Times New Roman" w:cs="Times New Roman"/>
                <w:color w:val="000000" w:themeColor="text1"/>
                <w:spacing w:val="0"/>
                <w:sz w:val="24"/>
                <w:szCs w:val="24"/>
                <w14:textFill>
                  <w14:solidFill>
                    <w14:schemeClr w14:val="tx1"/>
                  </w14:solidFill>
                </w14:textFill>
              </w:rPr>
              <w:t>202</w:t>
            </w:r>
            <w:r>
              <w:rPr>
                <w:rFonts w:hint="default" w:ascii="Times New Roman" w:hAnsi="Times New Roman" w:eastAsia="宋体" w:cs="Times New Roman"/>
                <w:color w:val="000000" w:themeColor="text1"/>
                <w:spacing w:val="0"/>
                <w:sz w:val="24"/>
                <w:szCs w:val="24"/>
                <w:lang w:val="en-US" w:eastAsia="zh-CN"/>
                <w14:textFill>
                  <w14:solidFill>
                    <w14:schemeClr w14:val="tx1"/>
                  </w14:solidFill>
                </w14:textFill>
              </w:rPr>
              <w:t>1]</w:t>
            </w:r>
            <w:r>
              <w:rPr>
                <w:rFonts w:hint="eastAsia" w:ascii="Times New Roman" w:hAnsi="Times New Roman" w:eastAsia="宋体" w:cs="Times New Roman"/>
                <w:color w:val="000000" w:themeColor="text1"/>
                <w:spacing w:val="0"/>
                <w:sz w:val="24"/>
                <w:szCs w:val="24"/>
                <w:lang w:val="en-US" w:eastAsia="zh-CN"/>
                <w14:textFill>
                  <w14:solidFill>
                    <w14:schemeClr w14:val="tx1"/>
                  </w14:solidFill>
                </w14:textFill>
              </w:rPr>
              <w:t>3号</w:t>
            </w:r>
            <w:r>
              <w:rPr>
                <w:rFonts w:ascii="Times New Roman" w:hAnsi="Times New Roman" w:eastAsia="宋体" w:cs="宋体"/>
                <w:color w:val="000000" w:themeColor="text1"/>
                <w:spacing w:val="0"/>
                <w:sz w:val="24"/>
                <w:szCs w:val="24"/>
                <w14:textFill>
                  <w14:solidFill>
                    <w14:schemeClr w14:val="tx1"/>
                  </w14:solidFill>
                </w14:textFill>
              </w:rPr>
              <w:t>），项目</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位于襄城县先进制造业开发区南区（原襄城县循环经济产业集聚区），属于襄城县产业集聚区管控单元。</w:t>
            </w:r>
          </w:p>
          <w:p>
            <w:pPr>
              <w:keepLines w:val="0"/>
              <w:pageBreakBefore w:val="0"/>
              <w:kinsoku/>
              <w:wordWrap w:val="0"/>
              <w:topLinePunct w:val="0"/>
              <w:bidi w:val="0"/>
              <w:spacing w:before="179" w:line="220" w:lineRule="auto"/>
              <w:ind w:left="578"/>
              <w:rPr>
                <w:rFonts w:ascii="Times New Roman" w:hAnsi="Times New Roman" w:eastAsia="宋体" w:cs="宋体"/>
                <w:b/>
                <w:bCs/>
                <w:color w:val="000000" w:themeColor="text1"/>
                <w:spacing w:val="0"/>
                <w:sz w:val="24"/>
                <w:szCs w:val="24"/>
                <w14:textFill>
                  <w14:solidFill>
                    <w14:schemeClr w14:val="tx1"/>
                  </w14:solidFill>
                </w14:textFill>
              </w:rPr>
            </w:pP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w:t>
            </w:r>
            <w:r>
              <w:rPr>
                <w:rFonts w:ascii="Times New Roman" w:hAnsi="Times New Roman" w:eastAsia="宋体" w:cs="宋体"/>
                <w:b/>
                <w:bCs/>
                <w:color w:val="000000" w:themeColor="text1"/>
                <w:spacing w:val="0"/>
                <w:sz w:val="24"/>
                <w:szCs w:val="24"/>
                <w14:textFill>
                  <w14:solidFill>
                    <w14:schemeClr w14:val="tx1"/>
                  </w14:solidFill>
                </w14:textFill>
              </w:rPr>
              <w:t>与生态红线相符性分析</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eastAsia="宋体" w:cs="宋体"/>
                <w:color w:val="000000" w:themeColor="text1"/>
                <w:spacing w:val="0"/>
                <w:sz w:val="24"/>
                <w:szCs w:val="24"/>
                <w14:textFill>
                  <w14:solidFill>
                    <w14:schemeClr w14:val="tx1"/>
                  </w14:solidFill>
                </w14:textFill>
              </w:rPr>
            </w:pPr>
            <w:r>
              <w:rPr>
                <w:rFonts w:ascii="Times New Roman" w:hAnsi="Times New Roman" w:eastAsia="宋体" w:cs="宋体"/>
                <w:color w:val="000000" w:themeColor="text1"/>
                <w:spacing w:val="0"/>
                <w:sz w:val="24"/>
                <w:szCs w:val="24"/>
                <w14:textFill>
                  <w14:solidFill>
                    <w14:schemeClr w14:val="tx1"/>
                  </w14:solidFill>
                </w14:textFill>
              </w:rPr>
              <w:t>本项目位于襄城县先进制造业开发区南区（原襄城县循环经济产业集聚区），属于工业用地，项目周边</w:t>
            </w:r>
            <w:r>
              <w:rPr>
                <w:rFonts w:ascii="Times New Roman" w:hAnsi="Times New Roman" w:eastAsia="Times New Roman" w:cs="Times New Roman"/>
                <w:color w:val="000000" w:themeColor="text1"/>
                <w:spacing w:val="0"/>
                <w:sz w:val="24"/>
                <w:szCs w:val="24"/>
                <w14:textFill>
                  <w14:solidFill>
                    <w14:schemeClr w14:val="tx1"/>
                  </w14:solidFill>
                </w14:textFill>
              </w:rPr>
              <w:t>500m</w:t>
            </w:r>
            <w:r>
              <w:rPr>
                <w:rFonts w:ascii="Times New Roman" w:hAnsi="Times New Roman" w:eastAsia="宋体" w:cs="宋体"/>
                <w:color w:val="000000" w:themeColor="text1"/>
                <w:spacing w:val="0"/>
                <w:sz w:val="24"/>
                <w:szCs w:val="24"/>
                <w14:textFill>
                  <w14:solidFill>
                    <w14:schemeClr w14:val="tx1"/>
                  </w14:solidFill>
                </w14:textFill>
              </w:rPr>
              <w:t>范围不涉及自然保护区、风景名胜区、森林公园、饮用水源保护区、水产种质资源保护区、湿地公园、地质公园、生态公益林、水源涵养重要区、水土保持重要区、生物多样性维护重要区、湿地等，不涉及生态保护红线，因此符合生态保护红线要求。</w:t>
            </w:r>
          </w:p>
          <w:p>
            <w:pPr>
              <w:keepLines w:val="0"/>
              <w:pageBreakBefore w:val="0"/>
              <w:kinsoku/>
              <w:wordWrap w:val="0"/>
              <w:topLinePunct w:val="0"/>
              <w:bidi w:val="0"/>
              <w:spacing w:before="181" w:line="220" w:lineRule="auto"/>
              <w:ind w:left="578"/>
              <w:rPr>
                <w:rFonts w:hint="default" w:ascii="Times New Roman" w:hAnsi="Times New Roman" w:eastAsia="宋体" w:cs="Times New Roman"/>
                <w:b/>
                <w:bCs/>
                <w:color w:val="000000" w:themeColor="text1"/>
                <w:spacing w:val="0"/>
                <w:sz w:val="24"/>
                <w:szCs w:val="24"/>
                <w14:textFill>
                  <w14:solidFill>
                    <w14:schemeClr w14:val="tx1"/>
                  </w14:solidFill>
                </w14:textFill>
              </w:rPr>
            </w:pP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14:textFill>
                  <w14:solidFill>
                    <w14:schemeClr w14:val="tx1"/>
                  </w14:solidFill>
                </w14:textFill>
              </w:rPr>
              <w:t>与环境质量底线相符性分析</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eastAsia="宋体" w:cs="宋体"/>
                <w:color w:val="000000" w:themeColor="text1"/>
                <w:spacing w:val="0"/>
                <w:sz w:val="24"/>
                <w:szCs w:val="24"/>
                <w14:textFill>
                  <w14:solidFill>
                    <w14:schemeClr w14:val="tx1"/>
                  </w14:solidFill>
                </w14:textFill>
              </w:rPr>
            </w:pPr>
            <w:r>
              <w:rPr>
                <w:rFonts w:ascii="Times New Roman" w:hAnsi="Times New Roman" w:eastAsia="宋体" w:cs="宋体"/>
                <w:color w:val="000000" w:themeColor="text1"/>
                <w:spacing w:val="0"/>
                <w:sz w:val="24"/>
                <w:szCs w:val="24"/>
                <w14:textFill>
                  <w14:solidFill>
                    <w14:schemeClr w14:val="tx1"/>
                  </w14:solidFill>
                </w14:textFill>
              </w:rPr>
              <w:t>项目区域大气环境为不达标区，许昌市已制定发布相关污染物防治和控制措施方案，区域环境空气质量正在逐步得到改善。本项目</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无生产</w:t>
            </w:r>
            <w:r>
              <w:rPr>
                <w:rFonts w:ascii="Times New Roman" w:hAnsi="Times New Roman" w:eastAsia="宋体" w:cs="宋体"/>
                <w:color w:val="000000" w:themeColor="text1"/>
                <w:spacing w:val="0"/>
                <w:sz w:val="24"/>
                <w:szCs w:val="24"/>
                <w14:textFill>
                  <w14:solidFill>
                    <w14:schemeClr w14:val="tx1"/>
                  </w14:solidFill>
                </w14:textFill>
              </w:rPr>
              <w:t>废水，对区域地表水影响较小；本项目经厂区内采取防渗措施后不会对土壤造成影响。</w:t>
            </w:r>
          </w:p>
          <w:p>
            <w:pPr>
              <w:keepLines w:val="0"/>
              <w:pageBreakBefore w:val="0"/>
              <w:kinsoku/>
              <w:wordWrap w:val="0"/>
              <w:topLinePunct w:val="0"/>
              <w:bidi w:val="0"/>
              <w:spacing w:before="183" w:line="220" w:lineRule="auto"/>
              <w:ind w:left="578"/>
              <w:rPr>
                <w:rFonts w:ascii="Times New Roman" w:hAnsi="Times New Roman" w:eastAsia="宋体" w:cs="宋体"/>
                <w:b/>
                <w:bCs/>
                <w:color w:val="000000" w:themeColor="text1"/>
                <w:spacing w:val="0"/>
                <w:sz w:val="24"/>
                <w:szCs w:val="24"/>
                <w14:textFill>
                  <w14:solidFill>
                    <w14:schemeClr w14:val="tx1"/>
                  </w14:solidFill>
                </w14:textFill>
              </w:rPr>
            </w:pP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（3）</w:t>
            </w:r>
            <w:r>
              <w:rPr>
                <w:rFonts w:ascii="Times New Roman" w:hAnsi="Times New Roman" w:eastAsia="宋体" w:cs="宋体"/>
                <w:b/>
                <w:bCs/>
                <w:color w:val="000000" w:themeColor="text1"/>
                <w:spacing w:val="0"/>
                <w:sz w:val="24"/>
                <w:szCs w:val="24"/>
                <w14:textFill>
                  <w14:solidFill>
                    <w14:schemeClr w14:val="tx1"/>
                  </w14:solidFill>
                </w14:textFill>
              </w:rPr>
              <w:t>与资源利用上线相符性分析</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eastAsia="宋体" w:cs="宋体"/>
                <w:color w:val="000000" w:themeColor="text1"/>
                <w:spacing w:val="0"/>
                <w:sz w:val="24"/>
                <w:szCs w:val="24"/>
                <w14:textFill>
                  <w14:solidFill>
                    <w14:schemeClr w14:val="tx1"/>
                  </w14:solidFill>
                </w14:textFill>
              </w:rPr>
            </w:pPr>
            <w:r>
              <w:rPr>
                <w:rFonts w:ascii="Times New Roman" w:hAnsi="Times New Roman" w:eastAsia="宋体" w:cs="宋体"/>
                <w:color w:val="000000" w:themeColor="text1"/>
                <w:spacing w:val="0"/>
                <w:sz w:val="24"/>
                <w:szCs w:val="24"/>
                <w14:textFill>
                  <w14:solidFill>
                    <w14:schemeClr w14:val="tx1"/>
                  </w14:solidFill>
                </w14:textFill>
              </w:rPr>
              <w:t>本项目用地为工业用地，租赁标准化厂房，用水、用电为园区集中供应，不使用煤、天然气。项目运行过程通过内部管理、污染治理等多方面采取合理可行的防治措施，以“节能、降耗、减污”为目标，有效的控制污染。项目的土地、水、气等资源利用不会突破区域的资源利用上线。</w:t>
            </w:r>
          </w:p>
          <w:p>
            <w:pPr>
              <w:keepLines w:val="0"/>
              <w:pageBreakBefore w:val="0"/>
              <w:kinsoku/>
              <w:wordWrap w:val="0"/>
              <w:topLinePunct w:val="0"/>
              <w:bidi w:val="0"/>
              <w:spacing w:before="183" w:line="220" w:lineRule="auto"/>
              <w:ind w:left="578"/>
              <w:rPr>
                <w:rFonts w:hint="default" w:ascii="Times New Roman" w:hAnsi="Times New Roman" w:eastAsia="Times New Roman" w:cs="Times New Roman"/>
                <w:b/>
                <w:bCs/>
                <w:color w:val="000000" w:themeColor="text1"/>
                <w:spacing w:val="0"/>
                <w:sz w:val="24"/>
                <w:szCs w:val="24"/>
                <w:lang w:val="en-US" w:eastAsia="zh-CN"/>
                <w14:textFill>
                  <w14:solidFill>
                    <w14:schemeClr w14:val="tx1"/>
                  </w14:solidFill>
                </w14:textFill>
              </w:rPr>
            </w:pPr>
            <w:r>
              <w:rPr>
                <w:rFonts w:hint="eastAsia" w:ascii="Times New Roman" w:hAnsi="Times New Roman" w:eastAsia="Times New Roman" w:cs="Times New Roman"/>
                <w:b/>
                <w:bCs/>
                <w:color w:val="000000" w:themeColor="text1"/>
                <w:spacing w:val="0"/>
                <w:sz w:val="24"/>
                <w:szCs w:val="24"/>
                <w:lang w:val="en-US" w:eastAsia="zh-CN"/>
                <w14:textFill>
                  <w14:solidFill>
                    <w14:schemeClr w14:val="tx1"/>
                  </w14:solidFill>
                </w14:textFill>
              </w:rPr>
              <w:t>（4）与环境准入负面清单相符性分析</w:t>
            </w:r>
          </w:p>
          <w:p>
            <w:pPr>
              <w:keepNext w:val="0"/>
              <w:keepLines w:val="0"/>
              <w:pageBreakBefore w:val="0"/>
              <w:widowControl w:val="0"/>
              <w:kinsoku/>
              <w:wordWrap w:val="0"/>
              <w:overflowPunct/>
              <w:topLinePunct w:val="0"/>
              <w:autoSpaceDE/>
              <w:autoSpaceDN/>
              <w:bidi w:val="0"/>
              <w:adjustRightInd/>
              <w:snapToGrid/>
              <w:spacing w:line="500" w:lineRule="exact"/>
              <w:ind w:left="0" w:firstLine="480" w:firstLineChars="200"/>
              <w:textAlignment w:val="auto"/>
              <w:rPr>
                <w:rFonts w:hint="eastAsia" w:ascii="Times New Roman" w:hAnsi="Times New Roman" w:eastAsia="宋体" w:cs="Times New Roman"/>
                <w:color w:val="000000" w:themeColor="text1"/>
                <w:spacing w:val="0"/>
                <w:sz w:val="24"/>
                <w:szCs w:val="24"/>
                <w:lang w:eastAsia="zh-CN"/>
                <w14:textFill>
                  <w14:solidFill>
                    <w14:schemeClr w14:val="tx1"/>
                  </w14:solidFill>
                </w14:textFill>
              </w:rPr>
            </w:pP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本项目位于襄城县先进制造园南区（原襄城县循环经济产业集聚区）</w:t>
            </w:r>
            <w:r>
              <w:rPr>
                <w:rFonts w:ascii="Times New Roman" w:hAnsi="Times New Roman" w:eastAsia="宋体" w:cs="宋体"/>
                <w:color w:val="000000" w:themeColor="text1"/>
                <w:spacing w:val="0"/>
                <w:sz w:val="24"/>
                <w:szCs w:val="24"/>
                <w14:textFill>
                  <w14:solidFill>
                    <w14:schemeClr w14:val="tx1"/>
                  </w14:solidFill>
                </w14:textFill>
              </w:rPr>
              <w:t>，</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属于襄城县产业集聚区管控单元，</w:t>
            </w:r>
            <w:r>
              <w:rPr>
                <w:rFonts w:ascii="Times New Roman" w:hAnsi="Times New Roman" w:eastAsia="宋体" w:cs="宋体"/>
                <w:color w:val="000000" w:themeColor="text1"/>
                <w:spacing w:val="0"/>
                <w:sz w:val="24"/>
                <w:szCs w:val="24"/>
                <w14:textFill>
                  <w14:solidFill>
                    <w14:schemeClr w14:val="tx1"/>
                  </w14:solidFill>
                </w14:textFill>
              </w:rPr>
              <w:t>属于重点管控单元，与许昌市生态环境准入清单的相符性见</w:t>
            </w:r>
            <w:r>
              <w:rPr>
                <w:rFonts w:hint="eastAsia" w:ascii="Times New Roman" w:hAnsi="Times New Roman" w:eastAsia="宋体" w:cs="宋体"/>
                <w:color w:val="000000" w:themeColor="text1"/>
                <w:spacing w:val="0"/>
                <w:sz w:val="24"/>
                <w:szCs w:val="24"/>
                <w:lang w:val="en-US" w:eastAsia="zh-CN"/>
                <w14:textFill>
                  <w14:solidFill>
                    <w14:schemeClr w14:val="tx1"/>
                  </w14:solidFill>
                </w14:textFill>
              </w:rPr>
              <w:t>下表</w:t>
            </w:r>
            <w:r>
              <w:rPr>
                <w:rFonts w:hint="eastAsia" w:ascii="Times New Roman" w:hAnsi="Times New Roman" w:eastAsia="宋体" w:cs="Times New Roman"/>
                <w:color w:val="000000" w:themeColor="text1"/>
                <w:spacing w:val="0"/>
                <w:sz w:val="24"/>
                <w:szCs w:val="24"/>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pacing w:val="0"/>
                <w:sz w:val="21"/>
                <w:szCs w:val="21"/>
                <w:lang w:val="en-US" w:eastAsia="zh-CN"/>
                <w14:textFill>
                  <w14:solidFill>
                    <w14:schemeClr w14:val="tx1"/>
                  </w14:solidFill>
                </w14:textFill>
              </w:rPr>
              <w:t>表1-4  项目与许昌市生态环境准入清单的相符性分析表</w:t>
            </w:r>
          </w:p>
          <w:tbl>
            <w:tblPr>
              <w:tblStyle w:val="19"/>
              <w:tblW w:w="5000"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644"/>
              <w:gridCol w:w="505"/>
              <w:gridCol w:w="619"/>
              <w:gridCol w:w="1126"/>
              <w:gridCol w:w="465"/>
              <w:gridCol w:w="2663"/>
              <w:gridCol w:w="1276"/>
              <w:gridCol w:w="440"/>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环境管控单元编码</w:t>
                  </w:r>
                </w:p>
              </w:tc>
              <w:tc>
                <w:tcPr>
                  <w:tcW w:w="28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管控单元名称</w:t>
                  </w:r>
                </w:p>
              </w:tc>
              <w:tc>
                <w:tcPr>
                  <w:tcW w:w="354"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管控单元分类</w:t>
                  </w:r>
                </w:p>
              </w:tc>
              <w:tc>
                <w:tcPr>
                  <w:tcW w:w="644"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环境要素类别</w:t>
                  </w:r>
                </w:p>
              </w:tc>
              <w:tc>
                <w:tcPr>
                  <w:tcW w:w="1789"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管控要求</w:t>
                  </w:r>
                </w:p>
              </w:tc>
              <w:tc>
                <w:tcPr>
                  <w:tcW w:w="73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本项目</w:t>
                  </w:r>
                </w:p>
              </w:tc>
              <w:tc>
                <w:tcPr>
                  <w:tcW w:w="25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bCs w:val="0"/>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ZH41102520001</w:t>
                  </w:r>
                </w:p>
              </w:tc>
              <w:tc>
                <w:tcPr>
                  <w:tcW w:w="289"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both"/>
                    <w:textAlignment w:val="auto"/>
                    <w:rPr>
                      <w:rFonts w:hint="eastAsia" w:ascii="Times New Roman" w:hAnsi="Times New Roman" w:eastAsia="宋体" w:cs="Times New Roman"/>
                      <w:bCs/>
                      <w:color w:val="000000" w:themeColor="text1"/>
                      <w:spacing w:val="0"/>
                      <w:sz w:val="21"/>
                      <w:szCs w:val="21"/>
                      <w:vertAlign w:val="baseline"/>
                      <w:lang w:eastAsia="zh-CN"/>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襄城县循环经济产业集聚区</w:t>
                  </w:r>
                </w:p>
              </w:tc>
              <w:tc>
                <w:tcPr>
                  <w:tcW w:w="354"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重点管控单元</w:t>
                  </w:r>
                </w:p>
              </w:tc>
              <w:tc>
                <w:tcPr>
                  <w:tcW w:w="644"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r>
                    <w:rPr>
                      <w:rFonts w:ascii="Times New Roman" w:hAnsi="Times New Roman" w:eastAsia="宋体" w:cs="宋体"/>
                      <w:color w:val="000000" w:themeColor="text1"/>
                      <w:spacing w:val="0"/>
                      <w:sz w:val="21"/>
                      <w:szCs w:val="21"/>
                      <w14:textFill>
                        <w14:solidFill>
                          <w14:schemeClr w14:val="tx1"/>
                        </w14:solidFill>
                      </w14:textFill>
                    </w:rPr>
                    <w:t>受体敏感区、高排放区、弱扩散区，水环境工业污染重点管控区，建设用地重点管控区</w:t>
                  </w:r>
                </w:p>
              </w:tc>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空间布局约束</w:t>
                  </w:r>
                </w:p>
              </w:tc>
              <w:tc>
                <w:tcPr>
                  <w:tcW w:w="1523" w:type="pct"/>
                  <w:tcBorders>
                    <w:tl2br w:val="nil"/>
                    <w:tr2bl w:val="nil"/>
                  </w:tcBorders>
                  <w:noWrap w:val="0"/>
                  <w:vAlign w:val="center"/>
                </w:tcPr>
                <w:p>
                  <w:pPr>
                    <w:pStyle w:val="50"/>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1</w:t>
                  </w:r>
                  <w:r>
                    <w:rPr>
                      <w:rFonts w:hint="default" w:ascii="Times New Roman" w:hAnsi="Times New Roman" w:eastAsia="宋体" w:cs="Times New Roman"/>
                      <w:color w:val="000000" w:themeColor="text1"/>
                      <w:spacing w:val="0"/>
                      <w:sz w:val="21"/>
                      <w:szCs w:val="21"/>
                      <w14:textFill>
                        <w14:solidFill>
                          <w14:schemeClr w14:val="tx1"/>
                        </w14:solidFill>
                      </w14:textFill>
                    </w:rPr>
                    <w:t>、禁止新建、改建及扩建高排放、高污染项目</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符合国家、省重大产能布局的除外</w:t>
                  </w:r>
                  <w:r>
                    <w:rPr>
                      <w:rFonts w:hint="default" w:ascii="Times New Roman" w:hAnsi="Times New Roman" w:eastAsia="宋体" w:cs="Times New Roman"/>
                      <w:color w:val="000000" w:themeColor="text1"/>
                      <w:spacing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sz w:val="21"/>
                      <w:szCs w:val="21"/>
                      <w14:textFill>
                        <w14:solidFill>
                          <w14:schemeClr w14:val="tx1"/>
                        </w14:solidFill>
                      </w14:textFill>
                    </w:rPr>
                    <w:t>。</w:t>
                  </w:r>
                </w:p>
                <w:p>
                  <w:pPr>
                    <w:pStyle w:val="50"/>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2</w:t>
                  </w:r>
                  <w:r>
                    <w:rPr>
                      <w:rFonts w:hint="default" w:ascii="Times New Roman" w:hAnsi="Times New Roman" w:eastAsia="宋体" w:cs="Times New Roman"/>
                      <w:color w:val="000000" w:themeColor="text1"/>
                      <w:spacing w:val="0"/>
                      <w:sz w:val="21"/>
                      <w:szCs w:val="21"/>
                      <w14:textFill>
                        <w14:solidFill>
                          <w14:schemeClr w14:val="tx1"/>
                        </w14:solidFill>
                      </w14:textFill>
                    </w:rPr>
                    <w:t>、禁止新建、扩建、改建燃用高污染燃料的项目（集中供热、热电联产设施除外）。</w:t>
                  </w:r>
                </w:p>
                <w:p>
                  <w:pPr>
                    <w:pStyle w:val="50"/>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1"/>
                      <w:szCs w:val="21"/>
                      <w14:textFill>
                        <w14:solidFill>
                          <w14:schemeClr w14:val="tx1"/>
                        </w14:solidFill>
                      </w14:textFill>
                    </w:rPr>
                    <w:t>、</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限制</w:t>
                  </w:r>
                  <w:r>
                    <w:rPr>
                      <w:rFonts w:hint="default" w:ascii="Times New Roman" w:hAnsi="Times New Roman" w:eastAsia="宋体" w:cs="Times New Roman"/>
                      <w:color w:val="000000" w:themeColor="text1"/>
                      <w:spacing w:val="0"/>
                      <w:sz w:val="21"/>
                      <w:szCs w:val="21"/>
                      <w14:textFill>
                        <w14:solidFill>
                          <w14:schemeClr w14:val="tx1"/>
                        </w14:solidFill>
                      </w14:textFill>
                    </w:rPr>
                    <w:t>不符合</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园区</w:t>
                  </w:r>
                  <w:r>
                    <w:rPr>
                      <w:rFonts w:hint="default" w:ascii="Times New Roman" w:hAnsi="Times New Roman" w:eastAsia="宋体" w:cs="Times New Roman"/>
                      <w:color w:val="000000" w:themeColor="text1"/>
                      <w:spacing w:val="0"/>
                      <w:sz w:val="21"/>
                      <w:szCs w:val="21"/>
                      <w14:textFill>
                        <w14:solidFill>
                          <w14:schemeClr w14:val="tx1"/>
                        </w14:solidFill>
                      </w14:textFill>
                    </w:rPr>
                    <w:t>发展规划和功能定位的工业企业</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入驻。</w:t>
                  </w:r>
                </w:p>
                <w:p>
                  <w:pPr>
                    <w:pStyle w:val="50"/>
                    <w:keepNext w:val="0"/>
                    <w:keepLines w:val="0"/>
                    <w:pageBreakBefore w:val="0"/>
                    <w:widowControl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4、落实集聚区内村庄、居民点搬迁、安置计划。</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1"/>
                      <w:szCs w:val="21"/>
                      <w14:textFill>
                        <w14:solidFill>
                          <w14:schemeClr w14:val="tx1"/>
                        </w14:solidFill>
                      </w14:textFill>
                    </w:rPr>
                    <w:t>新建、改建、扩建“两高”项目须符合生态环境保护法律法规和相关法定规划，满足重点污染物排放总量控制、碳排放达峰目标、生态环境准入清单、相关规划环评和相应行业建设项目环境准入条件、环评文件审批原则要求。</w:t>
                  </w:r>
                </w:p>
              </w:tc>
              <w:tc>
                <w:tcPr>
                  <w:tcW w:w="73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本项目为危险废物综合收储项目，属于危险废物治理业，是集聚区产业链配套的下游产业，与集聚区产业定位不冲突，不属于“两高项目”，符合产业集聚区空间布局约束要求。</w:t>
                  </w:r>
                </w:p>
              </w:tc>
              <w:tc>
                <w:tcPr>
                  <w:tcW w:w="25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28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354"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644"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污染物排放管控</w:t>
                  </w:r>
                </w:p>
              </w:tc>
              <w:tc>
                <w:tcPr>
                  <w:tcW w:w="1523" w:type="pct"/>
                  <w:tcBorders>
                    <w:tl2br w:val="nil"/>
                    <w:tr2bl w:val="nil"/>
                  </w:tcBorders>
                  <w:noWrap w:val="0"/>
                  <w:vAlign w:val="center"/>
                </w:tcPr>
                <w:p>
                  <w:pPr>
                    <w:pStyle w:val="50"/>
                    <w:keepNext w:val="0"/>
                    <w:keepLines w:val="0"/>
                    <w:pageBreakBefore w:val="0"/>
                    <w:widowControl w:val="0"/>
                    <w:kinsoku/>
                    <w:wordWrap w:val="0"/>
                    <w:overflowPunct/>
                    <w:topLinePunct w:val="0"/>
                    <w:autoSpaceDE/>
                    <w:bidi w:val="0"/>
                    <w:adjustRightInd/>
                    <w:snapToGrid/>
                    <w:spacing w:line="240" w:lineRule="auto"/>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1、新建涉VOCs排放的化工、工业涂装等重点行业企业实行区域内VOCs排放等量或倍量削减替代。</w:t>
                  </w:r>
                </w:p>
                <w:p>
                  <w:pPr>
                    <w:pStyle w:val="50"/>
                    <w:keepNext w:val="0"/>
                    <w:keepLines w:val="0"/>
                    <w:pageBreakBefore w:val="0"/>
                    <w:widowControl w:val="0"/>
                    <w:kinsoku/>
                    <w:wordWrap w:val="0"/>
                    <w:overflowPunct/>
                    <w:topLinePunct w:val="0"/>
                    <w:autoSpaceDE/>
                    <w:bidi w:val="0"/>
                    <w:adjustRightInd/>
                    <w:snapToGrid/>
                    <w:spacing w:line="240" w:lineRule="auto"/>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2、企业废水必须实现全收集、全处理。配备完善的污水处理、</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中水回用、</w:t>
                  </w:r>
                  <w:r>
                    <w:rPr>
                      <w:rFonts w:hint="default" w:ascii="Times New Roman" w:hAnsi="Times New Roman" w:eastAsia="宋体" w:cs="Times New Roman"/>
                      <w:color w:val="000000" w:themeColor="text1"/>
                      <w:spacing w:val="0"/>
                      <w:sz w:val="21"/>
                      <w:szCs w:val="21"/>
                      <w14:textFill>
                        <w14:solidFill>
                          <w14:schemeClr w14:val="tx1"/>
                        </w14:solidFill>
                      </w14:textFill>
                    </w:rPr>
                    <w:t>垃圾集中收集等设施。污水集中处理设施实现管网全配套。</w:t>
                  </w:r>
                </w:p>
                <w:p>
                  <w:pPr>
                    <w:pStyle w:val="50"/>
                    <w:keepNext w:val="0"/>
                    <w:keepLines w:val="0"/>
                    <w:pageBreakBefore w:val="0"/>
                    <w:widowControl w:val="0"/>
                    <w:kinsoku/>
                    <w:wordWrap w:val="0"/>
                    <w:overflowPunct/>
                    <w:topLinePunct w:val="0"/>
                    <w:autoSpaceDE/>
                    <w:bidi w:val="0"/>
                    <w:adjustRightInd/>
                    <w:snapToGrid/>
                    <w:spacing w:line="240" w:lineRule="auto"/>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3、加强工业炉窑及锅炉</w:t>
                  </w: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提标</w:t>
                  </w:r>
                  <w:r>
                    <w:rPr>
                      <w:rFonts w:hint="default" w:ascii="Times New Roman" w:hAnsi="Times New Roman" w:eastAsia="宋体" w:cs="Times New Roman"/>
                      <w:color w:val="000000" w:themeColor="text1"/>
                      <w:spacing w:val="0"/>
                      <w:sz w:val="21"/>
                      <w:szCs w:val="21"/>
                      <w14:textFill>
                        <w14:solidFill>
                          <w14:schemeClr w14:val="tx1"/>
                        </w14:solidFill>
                      </w14:textFill>
                    </w:rPr>
                    <w:t>改造。推进焦化企业废气实施超低排放改造。</w:t>
                  </w:r>
                </w:p>
                <w:p>
                  <w:pPr>
                    <w:pStyle w:val="50"/>
                    <w:keepNext w:val="0"/>
                    <w:keepLines w:val="0"/>
                    <w:pageBreakBefore w:val="0"/>
                    <w:widowControl w:val="0"/>
                    <w:kinsoku/>
                    <w:wordWrap w:val="0"/>
                    <w:overflowPunct/>
                    <w:topLinePunct w:val="0"/>
                    <w:autoSpaceDE/>
                    <w:bidi w:val="0"/>
                    <w:adjustRightInd/>
                    <w:snapToGrid/>
                    <w:spacing w:line="240" w:lineRule="auto"/>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4</w:t>
                  </w:r>
                  <w:r>
                    <w:rPr>
                      <w:rFonts w:hint="default" w:ascii="Times New Roman" w:hAnsi="Times New Roman" w:eastAsia="宋体" w:cs="Times New Roman"/>
                      <w:color w:val="000000" w:themeColor="text1"/>
                      <w:spacing w:val="0"/>
                      <w:sz w:val="21"/>
                      <w:szCs w:val="21"/>
                      <w14:textFill>
                        <w14:solidFill>
                          <w14:schemeClr w14:val="tx1"/>
                        </w14:solidFill>
                      </w14:textFill>
                    </w:rPr>
                    <w:t>、对现有VOCs排</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放</w:t>
                  </w:r>
                  <w:r>
                    <w:rPr>
                      <w:rFonts w:hint="default" w:ascii="Times New Roman" w:hAnsi="Times New Roman" w:eastAsia="宋体" w:cs="Times New Roman"/>
                      <w:color w:val="000000" w:themeColor="text1"/>
                      <w:spacing w:val="0"/>
                      <w:sz w:val="21"/>
                      <w:szCs w:val="21"/>
                      <w:highlight w:val="none"/>
                      <w:lang w:eastAsia="zh-CN"/>
                      <w14:textFill>
                        <w14:solidFill>
                          <w14:schemeClr w14:val="tx1"/>
                        </w14:solidFill>
                      </w14:textFill>
                    </w:rPr>
                    <w:t>源</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开展</w:t>
                  </w:r>
                  <w:r>
                    <w:rPr>
                      <w:rFonts w:hint="default" w:ascii="Times New Roman" w:hAnsi="Times New Roman" w:eastAsia="宋体" w:cs="Times New Roman"/>
                      <w:color w:val="000000" w:themeColor="text1"/>
                      <w:spacing w:val="0"/>
                      <w:sz w:val="21"/>
                      <w:szCs w:val="21"/>
                      <w14:textFill>
                        <w14:solidFill>
                          <w14:schemeClr w14:val="tx1"/>
                        </w14:solidFill>
                      </w14:textFill>
                    </w:rPr>
                    <w:t>综合治理，确保稳定达标排放。鼓励企业使用低（无）VOC</w:t>
                  </w:r>
                  <w:r>
                    <w:rPr>
                      <w:rFonts w:hint="default" w:ascii="Times New Roman" w:hAnsi="Times New Roman" w:eastAsia="宋体" w:cs="Times New Roman"/>
                      <w:color w:val="000000" w:themeColor="text1"/>
                      <w:spacing w:val="0"/>
                      <w:sz w:val="21"/>
                      <w:szCs w:val="21"/>
                      <w:vertAlign w:val="subscript"/>
                      <w14:textFill>
                        <w14:solidFill>
                          <w14:schemeClr w14:val="tx1"/>
                        </w14:solidFill>
                      </w14:textFill>
                    </w:rPr>
                    <w:t>S</w:t>
                  </w:r>
                  <w:r>
                    <w:rPr>
                      <w:rFonts w:hint="default" w:ascii="Times New Roman" w:hAnsi="Times New Roman" w:eastAsia="宋体" w:cs="Times New Roman"/>
                      <w:color w:val="000000" w:themeColor="text1"/>
                      <w:spacing w:val="0"/>
                      <w:sz w:val="21"/>
                      <w:szCs w:val="21"/>
                      <w14:textFill>
                        <w14:solidFill>
                          <w14:schemeClr w14:val="tx1"/>
                        </w14:solidFill>
                      </w14:textFill>
                    </w:rPr>
                    <w:t>原辅材料，开展绩效分级申报。</w:t>
                  </w:r>
                </w:p>
                <w:p>
                  <w:pPr>
                    <w:pStyle w:val="54"/>
                    <w:keepNext w:val="0"/>
                    <w:keepLines w:val="0"/>
                    <w:pageBreakBefore w:val="0"/>
                    <w:widowControl w:val="0"/>
                    <w:kinsoku/>
                    <w:wordWrap w:val="0"/>
                    <w:overflowPunct/>
                    <w:topLinePunct w:val="0"/>
                    <w:autoSpaceDE/>
                    <w:autoSpaceDN w:val="0"/>
                    <w:bidi w:val="0"/>
                    <w:adjustRightInd/>
                    <w:snapToGrid/>
                    <w:spacing w:line="240" w:lineRule="auto"/>
                    <w:jc w:val="both"/>
                    <w:textAlignment w:val="auto"/>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5、</w:t>
                  </w:r>
                  <w:r>
                    <w:rPr>
                      <w:rFonts w:hint="default" w:ascii="Times New Roman" w:hAnsi="Times New Roman" w:eastAsia="宋体" w:cs="Times New Roman"/>
                      <w:color w:val="000000" w:themeColor="text1"/>
                      <w:spacing w:val="0"/>
                      <w:sz w:val="21"/>
                      <w:szCs w:val="21"/>
                      <w14:textFill>
                        <w14:solidFill>
                          <w14:schemeClr w14:val="tx1"/>
                        </w14:solidFill>
                      </w14:textFill>
                    </w:rPr>
                    <w:t>新建耗煤项目还应严格按规定采取煤炭消费减量替代措施，不得使用高污染燃料作为煤炭减量替代措施。</w:t>
                  </w:r>
                </w:p>
                <w:p>
                  <w:pPr>
                    <w:pStyle w:val="50"/>
                    <w:keepNext w:val="0"/>
                    <w:keepLines w:val="0"/>
                    <w:pageBreakBefore w:val="0"/>
                    <w:widowControl w:val="0"/>
                    <w:kinsoku/>
                    <w:wordWrap w:val="0"/>
                    <w:overflowPunct/>
                    <w:topLinePunct w:val="0"/>
                    <w:autoSpaceDE/>
                    <w:bidi w:val="0"/>
                    <w:adjustRightInd/>
                    <w:snapToGrid/>
                    <w:spacing w:line="240" w:lineRule="auto"/>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sz w:val="21"/>
                      <w:szCs w:val="21"/>
                      <w:lang w:val="en-US" w:eastAsia="zh-CN"/>
                      <w14:textFill>
                        <w14:solidFill>
                          <w14:schemeClr w14:val="tx1"/>
                        </w14:solidFill>
                      </w14:textFill>
                    </w:rPr>
                    <w:t>6、</w:t>
                  </w:r>
                  <w:r>
                    <w:rPr>
                      <w:rFonts w:hint="default" w:ascii="Times New Roman" w:hAnsi="Times New Roman" w:eastAsia="宋体" w:cs="Times New Roman"/>
                      <w:color w:val="000000" w:themeColor="text1"/>
                      <w:spacing w:val="0"/>
                      <w:sz w:val="21"/>
                      <w:szCs w:val="21"/>
                      <w14:textFill>
                        <w14:solidFill>
                          <w14:schemeClr w14:val="tx1"/>
                        </w14:solidFill>
                      </w14:textFill>
                    </w:rPr>
                    <w:t>已出台超低排放要求的“两高”行业建设项目应满足超低排放要求。</w:t>
                  </w:r>
                </w:p>
              </w:tc>
              <w:tc>
                <w:tcPr>
                  <w:tcW w:w="73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本项目属于新建项目，不属于重点行业，不涉及工业涂装，不涉及工业窑炉，有合理VOCs倍量替代源。项目无生产废水，生活污水经化粪池处理后，综合利用，不外排。项目建设符合《河南省重污染天气通用行业应急减排措施制定技术指南》（2021年修订版）要求</w:t>
                  </w:r>
                </w:p>
              </w:tc>
              <w:tc>
                <w:tcPr>
                  <w:tcW w:w="25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28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354"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644"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环境风险管控</w:t>
                  </w:r>
                </w:p>
              </w:tc>
              <w:tc>
                <w:tcPr>
                  <w:tcW w:w="1523" w:type="pct"/>
                  <w:tcBorders>
                    <w:tl2br w:val="nil"/>
                    <w:tr2bl w:val="nil"/>
                  </w:tcBorders>
                  <w:noWrap w:val="0"/>
                  <w:vAlign w:val="center"/>
                </w:tcPr>
                <w:p>
                  <w:pPr>
                    <w:pStyle w:val="50"/>
                    <w:keepLines w:val="0"/>
                    <w:pageBreakBefore w:val="0"/>
                    <w:kinsoku/>
                    <w:wordWrap w:val="0"/>
                    <w:topLinePunct w:val="0"/>
                    <w:bidi w:val="0"/>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1、集聚区应成立环境应急组织机构，制定突发环境事件应急预案，配套建设突发事件应急物资及应急设施，并定期进行演练。</w:t>
                  </w:r>
                </w:p>
                <w:p>
                  <w:pPr>
                    <w:pStyle w:val="50"/>
                    <w:keepLines w:val="0"/>
                    <w:pageBreakBefore w:val="0"/>
                    <w:kinsoku/>
                    <w:wordWrap w:val="0"/>
                    <w:topLinePunct w:val="0"/>
                    <w:bidi w:val="0"/>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2、对涉重或危险化学品行业企业加强管理，建立土壤和地下水污染隐患排查治理制度、风险防控体系和长效监管机制。</w:t>
                  </w:r>
                </w:p>
                <w:p>
                  <w:pPr>
                    <w:pStyle w:val="50"/>
                    <w:keepLines w:val="0"/>
                    <w:pageBreakBefore w:val="0"/>
                    <w:kinsoku/>
                    <w:wordWrap w:val="0"/>
                    <w:topLinePunct w:val="0"/>
                    <w:bidi w:val="0"/>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3、涉重金属及危险化学品生产、储存、使用等企业在拆除生产设施设备、污染治理设施时，要事先制定残留污染物清理和安全处置方案。</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4、高关注地块划分污染风险等级，纳入优先管控名录。</w:t>
                  </w:r>
                </w:p>
              </w:tc>
              <w:tc>
                <w:tcPr>
                  <w:tcW w:w="73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项目建议企业做好应急预案，同时对危险废物储存设施等重点区域，采取相应防渗措施，防止对地下水及土壤的污染。</w:t>
                  </w:r>
                </w:p>
              </w:tc>
              <w:tc>
                <w:tcPr>
                  <w:tcW w:w="25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9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28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354"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644"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p>
              </w:tc>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资源利用效率</w:t>
                  </w:r>
                </w:p>
              </w:tc>
              <w:tc>
                <w:tcPr>
                  <w:tcW w:w="1523" w:type="pct"/>
                  <w:tcBorders>
                    <w:tl2br w:val="nil"/>
                    <w:tr2bl w:val="nil"/>
                  </w:tcBorders>
                  <w:noWrap w:val="0"/>
                  <w:vAlign w:val="center"/>
                </w:tcPr>
                <w:p>
                  <w:pPr>
                    <w:pStyle w:val="50"/>
                    <w:keepLines w:val="0"/>
                    <w:pageBreakBefore w:val="0"/>
                    <w:kinsoku/>
                    <w:wordWrap w:val="0"/>
                    <w:topLinePunct w:val="0"/>
                    <w:bidi w:val="0"/>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1、依托产业集聚区污水处理厂建设再生水回用配套设施，提高再生水利用率。</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Cs/>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sz w:val="21"/>
                      <w:szCs w:val="21"/>
                      <w14:textFill>
                        <w14:solidFill>
                          <w14:schemeClr w14:val="tx1"/>
                        </w14:solidFill>
                      </w14:textFill>
                    </w:rPr>
                    <w:t>2、加快集聚区基础设施建设，实现集聚区内生产生活集中供水，</w:t>
                  </w:r>
                  <w:r>
                    <w:rPr>
                      <w:rFonts w:hint="default" w:ascii="Times New Roman" w:hAnsi="Times New Roman" w:eastAsia="宋体" w:cs="Times New Roman"/>
                      <w:color w:val="000000" w:themeColor="text1"/>
                      <w:spacing w:val="0"/>
                      <w:sz w:val="21"/>
                      <w:szCs w:val="21"/>
                      <w:highlight w:val="none"/>
                      <w14:textFill>
                        <w14:solidFill>
                          <w14:schemeClr w14:val="tx1"/>
                        </w14:solidFill>
                      </w14:textFill>
                    </w:rPr>
                    <w:t>逐步取缔关闭企业自备地下水井。</w:t>
                  </w:r>
                </w:p>
              </w:tc>
              <w:tc>
                <w:tcPr>
                  <w:tcW w:w="73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本项目用水由集聚区市政供水管网供给。</w:t>
                  </w:r>
                </w:p>
              </w:tc>
              <w:tc>
                <w:tcPr>
                  <w:tcW w:w="25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bCs/>
                <w:color w:val="000000" w:themeColor="text1"/>
                <w:spacing w:val="0"/>
                <w:sz w:val="24"/>
                <w:lang w:val="en-US" w:eastAsia="zh-CN"/>
                <w14:textFill>
                  <w14:solidFill>
                    <w14:schemeClr w14:val="tx1"/>
                  </w14:solidFill>
                </w14:textFill>
              </w:rPr>
            </w:pPr>
            <w:r>
              <w:rPr>
                <w:rFonts w:hint="eastAsia" w:ascii="Times New Roman" w:hAnsi="Times New Roman"/>
                <w:bCs/>
                <w:color w:val="000000" w:themeColor="text1"/>
                <w:spacing w:val="0"/>
                <w:sz w:val="24"/>
                <w:lang w:val="en-US" w:eastAsia="zh-CN"/>
                <w14:textFill>
                  <w14:solidFill>
                    <w14:schemeClr w14:val="tx1"/>
                  </w14:solidFill>
                </w14:textFill>
              </w:rPr>
              <w:t>综上所述，本项目的建设满足襄城县相关管控要求，满足许昌市“三线一单”要求。</w:t>
            </w:r>
          </w:p>
          <w:p>
            <w:pPr>
              <w:keepNext w:val="0"/>
              <w:keepLines w:val="0"/>
              <w:pageBreakBefore w:val="0"/>
              <w:widowControl w:val="0"/>
              <w:kinsoku/>
              <w:wordWrap w:val="0"/>
              <w:overflowPunct/>
              <w:topLinePunct w:val="0"/>
              <w:autoSpaceDE/>
              <w:autoSpaceDN/>
              <w:bidi w:val="0"/>
              <w:adjustRightInd/>
              <w:snapToGrid/>
              <w:spacing w:line="500" w:lineRule="exact"/>
              <w:textAlignment w:val="auto"/>
              <w:rPr>
                <w:rFonts w:ascii="Times New Roman" w:hAnsi="Times New Roman"/>
                <w:b/>
                <w:color w:val="000000" w:themeColor="text1"/>
                <w:spacing w:val="0"/>
                <w:sz w:val="24"/>
                <w14:textFill>
                  <w14:solidFill>
                    <w14:schemeClr w14:val="tx1"/>
                  </w14:solidFill>
                </w14:textFill>
              </w:rPr>
            </w:pPr>
            <w:r>
              <w:rPr>
                <w:rFonts w:hint="eastAsia" w:ascii="Times New Roman" w:hAnsi="Times New Roman" w:eastAsia="宋体" w:cs="Times New Roman"/>
                <w:b/>
                <w:bCs w:val="0"/>
                <w:color w:val="000000" w:themeColor="text1"/>
                <w:spacing w:val="0"/>
                <w:sz w:val="24"/>
                <w:lang w:val="en-US" w:eastAsia="zh-CN"/>
                <w14:textFill>
                  <w14:solidFill>
                    <w14:schemeClr w14:val="tx1"/>
                  </w14:solidFill>
                </w14:textFill>
              </w:rPr>
              <w:t>1.6</w:t>
            </w:r>
            <w:r>
              <w:rPr>
                <w:rFonts w:hint="eastAsia" w:ascii="Times New Roman" w:hAnsi="Times New Roman"/>
                <w:b/>
                <w:color w:val="000000" w:themeColor="text1"/>
                <w:spacing w:val="0"/>
                <w:sz w:val="24"/>
                <w14:textFill>
                  <w14:solidFill>
                    <w14:schemeClr w14:val="tx1"/>
                  </w14:solidFill>
                </w14:textFill>
              </w:rPr>
              <w:t>与《关于印发河南省2023年蓝天保卫战实施方案的通知》（豫环委办〔2023〕4号）、《关于印发河南省2023年碧水保卫战实施方案的通知》（豫环委办〔2023〕5号）和《关于印发河南省2023年净土保卫战实施方案的通知》（豫环委办〔2023〕6号）符合性分析</w:t>
            </w:r>
          </w:p>
          <w:p>
            <w:pPr>
              <w:keepLines w:val="0"/>
              <w:pageBreakBefore w:val="0"/>
              <w:kinsoku/>
              <w:wordWrap w:val="0"/>
              <w:topLinePunct w:val="0"/>
              <w:bidi w:val="0"/>
              <w:spacing w:line="240" w:lineRule="auto"/>
              <w:jc w:val="center"/>
              <w:rPr>
                <w:rFonts w:hint="eastAsia" w:ascii="Times New Roman" w:hAnsi="Times New Roman"/>
                <w:b/>
                <w:bCs w:val="0"/>
                <w:color w:val="000000" w:themeColor="text1"/>
                <w:spacing w:val="0"/>
                <w:sz w:val="21"/>
                <w:szCs w:val="21"/>
                <w:lang w:val="en-US" w:eastAsia="zh-CN"/>
                <w14:textFill>
                  <w14:solidFill>
                    <w14:schemeClr w14:val="tx1"/>
                  </w14:solidFill>
                </w14:textFill>
              </w:rPr>
            </w:pPr>
          </w:p>
          <w:p>
            <w:pPr>
              <w:keepLines w:val="0"/>
              <w:pageBreakBefore w:val="0"/>
              <w:kinsoku/>
              <w:wordWrap w:val="0"/>
              <w:topLinePunct w:val="0"/>
              <w:bidi w:val="0"/>
              <w:spacing w:line="240" w:lineRule="auto"/>
              <w:jc w:val="center"/>
              <w:rPr>
                <w:rFonts w:hint="eastAsia" w:ascii="Times New Roman" w:hAnsi="Times New Roman"/>
                <w:b/>
                <w:bCs w:val="0"/>
                <w:color w:val="000000" w:themeColor="text1"/>
                <w:spacing w:val="0"/>
                <w:sz w:val="21"/>
                <w:szCs w:val="21"/>
                <w:lang w:val="en-US" w:eastAsia="zh-CN"/>
                <w14:textFill>
                  <w14:solidFill>
                    <w14:schemeClr w14:val="tx1"/>
                  </w14:solidFill>
                </w14:textFill>
              </w:rPr>
            </w:pPr>
          </w:p>
          <w:p>
            <w:pPr>
              <w:keepLines w:val="0"/>
              <w:pageBreakBefore w:val="0"/>
              <w:kinsoku/>
              <w:wordWrap w:val="0"/>
              <w:topLinePunct w:val="0"/>
              <w:bidi w:val="0"/>
              <w:spacing w:line="240" w:lineRule="auto"/>
              <w:jc w:val="center"/>
              <w:rPr>
                <w:rFonts w:hint="eastAsia" w:ascii="Times New Roman" w:hAnsi="Times New Roman"/>
                <w:b/>
                <w:bCs w:val="0"/>
                <w:color w:val="000000" w:themeColor="text1"/>
                <w:spacing w:val="0"/>
                <w:sz w:val="21"/>
                <w:szCs w:val="21"/>
                <w:lang w:val="en-US" w:eastAsia="zh-CN"/>
                <w14:textFill>
                  <w14:solidFill>
                    <w14:schemeClr w14:val="tx1"/>
                  </w14:solidFill>
                </w14:textFill>
              </w:rPr>
            </w:pPr>
          </w:p>
          <w:p>
            <w:pPr>
              <w:keepLines w:val="0"/>
              <w:pageBreakBefore w:val="0"/>
              <w:kinsoku/>
              <w:wordWrap w:val="0"/>
              <w:topLinePunct w:val="0"/>
              <w:bidi w:val="0"/>
              <w:spacing w:line="240" w:lineRule="auto"/>
              <w:jc w:val="center"/>
              <w:rPr>
                <w:rFonts w:hint="eastAsia" w:ascii="Times New Roman" w:hAnsi="Times New Roman"/>
                <w:b/>
                <w:bCs w:val="0"/>
                <w:color w:val="000000" w:themeColor="text1"/>
                <w:spacing w:val="0"/>
                <w:sz w:val="21"/>
                <w:szCs w:val="21"/>
                <w:lang w:val="en-US" w:eastAsia="zh-CN"/>
                <w14:textFill>
                  <w14:solidFill>
                    <w14:schemeClr w14:val="tx1"/>
                  </w14:solidFill>
                </w14:textFill>
              </w:rPr>
            </w:pPr>
          </w:p>
          <w:p>
            <w:pPr>
              <w:keepLines w:val="0"/>
              <w:pageBreakBefore w:val="0"/>
              <w:kinsoku/>
              <w:wordWrap w:val="0"/>
              <w:topLinePunct w:val="0"/>
              <w:bidi w:val="0"/>
              <w:spacing w:line="240" w:lineRule="auto"/>
              <w:jc w:val="center"/>
              <w:rPr>
                <w:rFonts w:hint="eastAsia" w:ascii="Times New Roman" w:hAnsi="Times New Roman"/>
                <w:b/>
                <w:bCs w:val="0"/>
                <w:color w:val="000000" w:themeColor="text1"/>
                <w:spacing w:val="0"/>
                <w:sz w:val="21"/>
                <w:szCs w:val="21"/>
                <w:lang w:val="en-US" w:eastAsia="zh-CN"/>
                <w14:textFill>
                  <w14:solidFill>
                    <w14:schemeClr w14:val="tx1"/>
                  </w14:solidFill>
                </w14:textFill>
              </w:rPr>
            </w:pPr>
          </w:p>
          <w:p>
            <w:pPr>
              <w:keepLines w:val="0"/>
              <w:pageBreakBefore w:val="0"/>
              <w:kinsoku/>
              <w:wordWrap w:val="0"/>
              <w:topLinePunct w:val="0"/>
              <w:bidi w:val="0"/>
              <w:spacing w:line="240" w:lineRule="auto"/>
              <w:jc w:val="center"/>
              <w:rPr>
                <w:rFonts w:hint="eastAsia" w:ascii="Times New Roman" w:hAnsi="Times New Roman"/>
                <w:b/>
                <w:bCs w:val="0"/>
                <w:color w:val="000000" w:themeColor="text1"/>
                <w:spacing w:val="0"/>
                <w:sz w:val="21"/>
                <w:szCs w:val="21"/>
                <w:lang w:val="en-US" w:eastAsia="zh-CN"/>
                <w14:textFill>
                  <w14:solidFill>
                    <w14:schemeClr w14:val="tx1"/>
                  </w14:solidFill>
                </w14:textFill>
              </w:rPr>
            </w:pPr>
          </w:p>
          <w:p>
            <w:pPr>
              <w:keepLines w:val="0"/>
              <w:pageBreakBefore w:val="0"/>
              <w:kinsoku/>
              <w:wordWrap w:val="0"/>
              <w:topLinePunct w:val="0"/>
              <w:bidi w:val="0"/>
              <w:spacing w:line="240" w:lineRule="auto"/>
              <w:jc w:val="center"/>
              <w:rPr>
                <w:rFonts w:hint="eastAsia" w:ascii="Times New Roman" w:hAnsi="Times New Roman"/>
                <w:b/>
                <w:bCs w:val="0"/>
                <w:color w:val="000000" w:themeColor="text1"/>
                <w:spacing w:val="0"/>
                <w:sz w:val="21"/>
                <w:szCs w:val="21"/>
                <w:lang w:val="en-US" w:eastAsia="zh-CN"/>
                <w14:textFill>
                  <w14:solidFill>
                    <w14:schemeClr w14:val="tx1"/>
                  </w14:solidFill>
                </w14:textFill>
              </w:rPr>
            </w:pPr>
          </w:p>
          <w:p>
            <w:pPr>
              <w:keepLines w:val="0"/>
              <w:pageBreakBefore w:val="0"/>
              <w:kinsoku/>
              <w:wordWrap w:val="0"/>
              <w:topLinePunct w:val="0"/>
              <w:bidi w:val="0"/>
              <w:spacing w:line="240" w:lineRule="auto"/>
              <w:jc w:val="center"/>
              <w:rPr>
                <w:rFonts w:hint="default" w:ascii="Times New Roman" w:hAnsi="Times New Roman" w:eastAsia="宋体"/>
                <w:b/>
                <w:bCs w:val="0"/>
                <w:color w:val="000000" w:themeColor="text1"/>
                <w:spacing w:val="0"/>
                <w:sz w:val="21"/>
                <w:szCs w:val="21"/>
                <w:lang w:val="en-US" w:eastAsia="zh-CN"/>
                <w14:textFill>
                  <w14:solidFill>
                    <w14:schemeClr w14:val="tx1"/>
                  </w14:solidFill>
                </w14:textFill>
              </w:rPr>
            </w:pPr>
            <w:r>
              <w:rPr>
                <w:rFonts w:hint="eastAsia" w:ascii="Times New Roman" w:hAnsi="Times New Roman"/>
                <w:b/>
                <w:bCs w:val="0"/>
                <w:color w:val="000000" w:themeColor="text1"/>
                <w:spacing w:val="0"/>
                <w:sz w:val="21"/>
                <w:szCs w:val="21"/>
                <w:lang w:val="en-US" w:eastAsia="zh-CN"/>
                <w14:textFill>
                  <w14:solidFill>
                    <w14:schemeClr w14:val="tx1"/>
                  </w14:solidFill>
                </w14:textFill>
              </w:rPr>
              <w:t>表1-5  本项目与省“蓝天、碧水、净土保卫战实施方案”符合性分析</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4617"/>
              <w:gridCol w:w="3165"/>
              <w:gridCol w:w="4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8"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bCs w:val="0"/>
                      <w:color w:val="000000" w:themeColor="text1"/>
                      <w:spacing w:val="0"/>
                      <w:sz w:val="21"/>
                      <w:szCs w:val="21"/>
                      <w:vertAlign w:val="baseline"/>
                      <w:lang w:val="en-US" w:eastAsia="zh-CN"/>
                      <w14:textFill>
                        <w14:solidFill>
                          <w14:schemeClr w14:val="tx1"/>
                        </w14:solidFill>
                      </w14:textFill>
                    </w:rPr>
                    <w:t>文件相关要求</w:t>
                  </w:r>
                </w:p>
              </w:tc>
              <w:tc>
                <w:tcPr>
                  <w:tcW w:w="181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bCs w:val="0"/>
                      <w:color w:val="000000" w:themeColor="text1"/>
                      <w:spacing w:val="0"/>
                      <w:sz w:val="21"/>
                      <w:szCs w:val="21"/>
                      <w:vertAlign w:val="baseline"/>
                      <w:lang w:val="en-US" w:eastAsia="zh-CN"/>
                      <w14:textFill>
                        <w14:solidFill>
                          <w14:schemeClr w14:val="tx1"/>
                        </w14:solidFill>
                      </w14:textFill>
                    </w:rPr>
                    <w:t>本项目</w:t>
                  </w:r>
                </w:p>
              </w:tc>
              <w:tc>
                <w:tcPr>
                  <w:tcW w:w="2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bCs w:val="0"/>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蓝天保卫战实施方案</w:t>
                  </w:r>
                </w:p>
              </w:tc>
              <w:tc>
                <w:tcPr>
                  <w:tcW w:w="264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23.持续加大无组织排放整治力度。</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在保证安全生产前提下，督促企业通过采取设备与场所密闭、工艺改进、废气有效收集等措施，对VOCs无组织排放废气进行综合治理</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24. 大力提升治理设施去除效率</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....对废气处理效率低下的企业实施提升治理</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28.优化重点行业绩效分级管理。强化重污染天气应急分类分级管控，持续推进重点行业企业绩效分级，加强应急减排清单标准化管理，鼓励企业加快实施升级改造，建立完善“有进有出”动态调整机制，着力培育一批绩效水平高、行业带动强的省级绿色标杆企业，对存在环境违法违规行为、环境绩效水平达不到相应指标要求的企业实施降级处理。</w:t>
                  </w:r>
                </w:p>
              </w:tc>
              <w:tc>
                <w:tcPr>
                  <w:tcW w:w="1811" w:type="pct"/>
                  <w:tcBorders>
                    <w:tl2br w:val="nil"/>
                    <w:tr2bl w:val="nil"/>
                  </w:tcBorders>
                  <w:noWrap w:val="0"/>
                  <w:vAlign w:val="center"/>
                </w:tcPr>
                <w:p>
                  <w:pPr>
                    <w:keepNext w:val="0"/>
                    <w:keepLines w:val="0"/>
                    <w:pageBreakBefore w:val="0"/>
                    <w:widowControl/>
                    <w:suppressLineNumbers w:val="0"/>
                    <w:kinsoku/>
                    <w:wordWrap w:val="0"/>
                    <w:topLinePunct w:val="0"/>
                    <w:autoSpaceDE/>
                    <w:autoSpaceDN/>
                    <w:bidi w:val="0"/>
                    <w:adjustRightInd/>
                    <w:jc w:val="left"/>
                    <w:textAlignment w:val="auto"/>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spacing w:val="0"/>
                      <w:sz w:val="21"/>
                      <w:szCs w:val="21"/>
                      <w:lang w:val="en-US" w:eastAsia="zh-CN"/>
                      <w14:textFill>
                        <w14:solidFill>
                          <w14:schemeClr w14:val="tx1"/>
                        </w14:solidFill>
                      </w14:textFill>
                    </w:rPr>
                    <w:t>本项目</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危险废物贮存区在车间内二次密闭，采用负压抽风方式对废气进行收集，采用活性炭吸附</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催化燃烧</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装置处理废气，处理效率＞</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9</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0%</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。项目危险废物在储存、转移、运输时均在密闭容器内。</w:t>
                  </w:r>
                </w:p>
                <w:p>
                  <w:pPr>
                    <w:keepNext w:val="0"/>
                    <w:keepLines w:val="0"/>
                    <w:pageBreakBefore w:val="0"/>
                    <w:widowControl/>
                    <w:suppressLineNumbers w:val="0"/>
                    <w:kinsoku/>
                    <w:wordWrap w:val="0"/>
                    <w:topLinePunct w:val="0"/>
                    <w:autoSpaceDE/>
                    <w:autoSpaceDN/>
                    <w:bidi w:val="0"/>
                    <w:adjustRightInd/>
                    <w:jc w:val="left"/>
                    <w:textAlignment w:val="auto"/>
                    <w:rPr>
                      <w:rFonts w:hint="default" w:ascii="Times New Roman" w:hAnsi="Times New Roman"/>
                      <w:color w:val="000000" w:themeColor="text1"/>
                      <w:spacing w:val="0"/>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项目建设符合</w:t>
                  </w: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《河南省重污染天气通用行业应急减排措施制定技术指南》（2021年修订版）要求。</w:t>
                  </w:r>
                </w:p>
              </w:tc>
              <w:tc>
                <w:tcPr>
                  <w:tcW w:w="2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vertAlign w:val="baseline"/>
                      <w:lang w:val="en-US" w:eastAsia="zh-CN"/>
                      <w14:textFill>
                        <w14:solidFill>
                          <w14:schemeClr w14:val="tx1"/>
                        </w14:solidFill>
                      </w14:textFill>
                    </w:rPr>
                    <w:t>碧水保卫战实施方案</w:t>
                  </w:r>
                </w:p>
              </w:tc>
              <w:tc>
                <w:tcPr>
                  <w:tcW w:w="264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t>24.推动企业绿色转型发展。严格落实环境准入，落实“三线一单”生态环境分区管控体系，构建以“三线一单”为空间管控基础、环境影响评价为环境准入把关、排污许可为企业运行守法依据的生态环境管理框架。</w:t>
                  </w:r>
                </w:p>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t>26.加强水环境风险防控。以涉危涉重企业、工业园区等为重点，加强水环境风险日常监管与水污染防治设施安全隐患排查，强化应急设施建设...。</w:t>
                  </w:r>
                </w:p>
              </w:tc>
              <w:tc>
                <w:tcPr>
                  <w:tcW w:w="1811" w:type="pct"/>
                  <w:tcBorders>
                    <w:tl2br w:val="nil"/>
                    <w:tr2bl w:val="nil"/>
                  </w:tcBorders>
                  <w:noWrap w:val="0"/>
                  <w:vAlign w:val="center"/>
                </w:tcPr>
                <w:p>
                  <w:pPr>
                    <w:keepNext/>
                    <w:keepLines w:val="0"/>
                    <w:pageBreakBefore w:val="0"/>
                    <w:widowControl w:val="0"/>
                    <w:kinsoku/>
                    <w:wordWrap w:val="0"/>
                    <w:overflowPunct w:val="0"/>
                    <w:topLinePunct w:val="0"/>
                    <w:autoSpaceDE/>
                    <w:autoSpaceDN/>
                    <w:bidi w:val="0"/>
                    <w:adjustRightInd/>
                    <w:snapToGrid w:val="0"/>
                    <w:spacing w:line="240" w:lineRule="auto"/>
                    <w:ind w:left="0" w:firstLine="0"/>
                    <w:jc w:val="left"/>
                    <w:textAlignment w:val="auto"/>
                    <w:outlineLvl w:val="9"/>
                    <w:rPr>
                      <w:rFonts w:hint="default" w:ascii="Times New Roman" w:hAnsi="Times New Roman" w:eastAsia="宋体" w:cs="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lang w:val="en-US" w:eastAsia="zh-CN"/>
                      <w14:textFill>
                        <w14:solidFill>
                          <w14:schemeClr w14:val="tx1"/>
                        </w14:solidFill>
                      </w14:textFill>
                    </w:rPr>
                    <w:t>项目符合许昌市及襄城县“三线一单”生态环境管控要求。项目无生产废水，生活污水经化粪池处理后，综合利用，不外排。危废贮存设施等重点区域采取地面防渗措施、严格的管理制度等，可有效防止对地表水环境的影响。</w:t>
                  </w:r>
                </w:p>
              </w:tc>
              <w:tc>
                <w:tcPr>
                  <w:tcW w:w="2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431" w:hRule="atLeast"/>
                <w:jc w:val="center"/>
              </w:trPr>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净土保卫战实施方案</w:t>
                  </w:r>
                </w:p>
              </w:tc>
              <w:tc>
                <w:tcPr>
                  <w:tcW w:w="2642" w:type="pct"/>
                  <w:tcBorders>
                    <w:tl2br w:val="nil"/>
                    <w:tr2bl w:val="nil"/>
                  </w:tcBorders>
                  <w:noWrap w:val="0"/>
                  <w:vAlign w:val="center"/>
                </w:tcPr>
                <w:p>
                  <w:pPr>
                    <w:keepNext w:val="0"/>
                    <w:keepLines w:val="0"/>
                    <w:pageBreakBefore w:val="0"/>
                    <w:widowControl/>
                    <w:suppressLineNumbers w:val="0"/>
                    <w:kinsoku/>
                    <w:wordWrap w:val="0"/>
                    <w:topLinePunct w:val="0"/>
                    <w:autoSpaceDE/>
                    <w:autoSpaceDN/>
                    <w:bidi w:val="0"/>
                    <w:adjustRightInd/>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vertAlign w:val="baseline"/>
                      <w:lang w:val="en-US" w:eastAsia="zh-CN"/>
                      <w14:textFill>
                        <w14:solidFill>
                          <w14:schemeClr w14:val="tx1"/>
                        </w14:solidFill>
                      </w14:textFill>
                    </w:rPr>
                    <w:t>4</w:t>
                  </w:r>
                  <w:r>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t>.全面加强固体废物监管。持续开展危险废物排查整治，全面提升危险废物环境监管、利用处置和环境风险防范“三个能力”，推动危险废物监管和利用处置能力改革工作。</w:t>
                  </w:r>
                  <w:r>
                    <w:rPr>
                      <w:rFonts w:hint="eastAsia" w:ascii="Times New Roman" w:hAnsi="Times New Roman" w:eastAsia="宋体"/>
                      <w:bCs/>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t>持续开展小微企业危险废物收集和废铅酸蓄电池收集转运试点工作。</w:t>
                  </w:r>
                </w:p>
              </w:tc>
              <w:tc>
                <w:tcPr>
                  <w:tcW w:w="181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本项目为危险废物治理项目，项目建设有利于提高危险废物收集、转运水平。项目</w:t>
                  </w:r>
                  <w:r>
                    <w:rPr>
                      <w:rFonts w:hint="eastAsia" w:ascii="Times New Roman" w:hAnsi="Times New Roman" w:eastAsia="宋体" w:cs="宋体"/>
                      <w:b w:val="0"/>
                      <w:bCs/>
                      <w:color w:val="000000" w:themeColor="text1"/>
                      <w:spacing w:val="0"/>
                      <w:sz w:val="21"/>
                      <w:szCs w:val="21"/>
                      <w:lang w:val="en-US" w:eastAsia="zh-CN"/>
                      <w14:textFill>
                        <w14:solidFill>
                          <w14:schemeClr w14:val="tx1"/>
                        </w14:solidFill>
                      </w14:textFill>
                    </w:rPr>
                    <w:t>危废贮存设施等重点区域采取地面防渗措施、严格的管理制度等，可有效避免对地下水环境造成污染。</w:t>
                  </w:r>
                </w:p>
              </w:tc>
              <w:tc>
                <w:tcPr>
                  <w:tcW w:w="2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b w:val="0"/>
                <w:bCs/>
                <w:color w:val="000000" w:themeColor="text1"/>
                <w:spacing w:val="0"/>
                <w:sz w:val="24"/>
                <w:szCs w:val="20"/>
                <w:lang w:val="en-US" w:eastAsia="zh-CN"/>
                <w14:textFill>
                  <w14:solidFill>
                    <w14:schemeClr w14:val="tx1"/>
                  </w14:solidFill>
                </w14:textFill>
              </w:rPr>
            </w:pPr>
            <w:r>
              <w:rPr>
                <w:rFonts w:hint="eastAsia" w:ascii="Times New Roman" w:hAnsi="Times New Roman" w:eastAsia="宋体"/>
                <w:b w:val="0"/>
                <w:bCs/>
                <w:color w:val="000000" w:themeColor="text1"/>
                <w:spacing w:val="0"/>
                <w:sz w:val="24"/>
                <w:szCs w:val="20"/>
                <w:lang w:val="en-US" w:eastAsia="zh-CN"/>
                <w14:textFill>
                  <w14:solidFill>
                    <w14:schemeClr w14:val="tx1"/>
                  </w14:solidFill>
                </w14:textFill>
              </w:rPr>
              <w:t>综上，项目建设符合《关于印发河南省2023年蓝天保卫战实施方案的通知》（豫环委办〔2023〕4号）、《关于印发河南省2023年碧水保卫战实施方案的通知》（豫环委办〔2023〕5号）和《关于印发河南省2023年净土保卫战实施方案的通知》（豫环委办〔2023〕6号）的相关要求。</w:t>
            </w:r>
          </w:p>
          <w:p>
            <w:pPr>
              <w:keepLines w:val="0"/>
              <w:pageBreakBefore w:val="0"/>
              <w:kinsoku/>
              <w:wordWrap w:val="0"/>
              <w:topLinePunct w:val="0"/>
              <w:bidi w:val="0"/>
              <w:spacing w:line="500" w:lineRule="exact"/>
              <w:rPr>
                <w:rFonts w:hint="eastAsia" w:ascii="Times New Roman" w:hAnsi="Times New Roman"/>
                <w:b/>
                <w:color w:val="000000" w:themeColor="text1"/>
                <w:spacing w:val="0"/>
                <w:sz w:val="24"/>
                <w:szCs w:val="20"/>
                <w:lang w:val="en-US" w:eastAsia="zh-CN"/>
                <w14:textFill>
                  <w14:solidFill>
                    <w14:schemeClr w14:val="tx1"/>
                  </w14:solidFill>
                </w14:textFill>
              </w:rPr>
            </w:pPr>
            <w:r>
              <w:rPr>
                <w:rFonts w:hint="eastAsia" w:ascii="Times New Roman" w:hAnsi="Times New Roman" w:eastAsia="黑体"/>
                <w:b/>
                <w:color w:val="000000" w:themeColor="text1"/>
                <w:spacing w:val="0"/>
                <w:sz w:val="24"/>
                <w:szCs w:val="20"/>
                <w:lang w:val="en-US" w:eastAsia="zh-CN"/>
                <w14:textFill>
                  <w14:solidFill>
                    <w14:schemeClr w14:val="tx1"/>
                  </w14:solidFill>
                </w14:textFill>
              </w:rPr>
              <w:t>1.7</w:t>
            </w:r>
            <w:r>
              <w:rPr>
                <w:rFonts w:hint="eastAsia" w:ascii="Times New Roman" w:hAnsi="Times New Roman" w:eastAsia="宋体" w:cs="宋体"/>
                <w:b/>
                <w:color w:val="000000" w:themeColor="text1"/>
                <w:spacing w:val="0"/>
                <w:sz w:val="24"/>
                <w:szCs w:val="20"/>
                <w14:textFill>
                  <w14:solidFill>
                    <w14:schemeClr w14:val="tx1"/>
                  </w14:solidFill>
                </w14:textFill>
              </w:rPr>
              <w:t>与</w:t>
            </w:r>
            <w:r>
              <w:rPr>
                <w:rFonts w:hint="eastAsia" w:ascii="Times New Roman" w:hAnsi="Times New Roman"/>
                <w:b/>
                <w:color w:val="000000" w:themeColor="text1"/>
                <w:spacing w:val="0"/>
                <w:sz w:val="24"/>
                <w:szCs w:val="20"/>
                <w14:textFill>
                  <w14:solidFill>
                    <w14:schemeClr w14:val="tx1"/>
                  </w14:solidFill>
                </w14:textFill>
              </w:rPr>
              <w:t>《关于印发许昌市2023年蓝天保卫战实施方案的通知》（许环委办〔2023〕3号）、《关于印发许昌市2023年碧水保卫战实施方案的通知》（许环委办〔2023〕5号）和《关于印发许昌市 2023 年净土保卫战实施方案的通知》（许环委办〔2023〕6号）的</w:t>
            </w:r>
            <w:r>
              <w:rPr>
                <w:rFonts w:hint="eastAsia" w:ascii="Times New Roman" w:hAnsi="Times New Roman"/>
                <w:b/>
                <w:color w:val="000000" w:themeColor="text1"/>
                <w:spacing w:val="0"/>
                <w:sz w:val="24"/>
                <w:szCs w:val="20"/>
                <w:lang w:val="en-US" w:eastAsia="zh-CN"/>
                <w14:textFill>
                  <w14:solidFill>
                    <w14:schemeClr w14:val="tx1"/>
                  </w14:solidFill>
                </w14:textFill>
              </w:rPr>
              <w:t>相符性分析</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b/>
                <w:bCs w:val="0"/>
                <w:color w:val="000000" w:themeColor="text1"/>
                <w:spacing w:val="0"/>
                <w:sz w:val="21"/>
                <w:szCs w:val="16"/>
                <w:lang w:val="en-US" w:eastAsia="zh-CN"/>
                <w14:textFill>
                  <w14:solidFill>
                    <w14:schemeClr w14:val="tx1"/>
                  </w14:solidFill>
                </w14:textFill>
              </w:rPr>
            </w:pPr>
            <w:r>
              <w:rPr>
                <w:rFonts w:hint="eastAsia" w:ascii="Times New Roman" w:hAnsi="Times New Roman"/>
                <w:b/>
                <w:bCs w:val="0"/>
                <w:color w:val="000000" w:themeColor="text1"/>
                <w:spacing w:val="0"/>
                <w:sz w:val="21"/>
                <w:szCs w:val="16"/>
                <w:lang w:val="en-US" w:eastAsia="zh-CN"/>
                <w14:textFill>
                  <w14:solidFill>
                    <w14:schemeClr w14:val="tx1"/>
                  </w14:solidFill>
                </w14:textFill>
              </w:rPr>
              <w:t xml:space="preserve">表1-6  </w:t>
            </w:r>
            <w:r>
              <w:rPr>
                <w:rFonts w:hint="eastAsia" w:ascii="Times New Roman" w:hAnsi="Times New Roman"/>
                <w:b/>
                <w:bCs w:val="0"/>
                <w:color w:val="000000" w:themeColor="text1"/>
                <w:spacing w:val="0"/>
                <w:sz w:val="21"/>
                <w:szCs w:val="21"/>
                <w:lang w:val="en-US" w:eastAsia="zh-CN"/>
                <w14:textFill>
                  <w14:solidFill>
                    <w14:schemeClr w14:val="tx1"/>
                  </w14:solidFill>
                </w14:textFill>
              </w:rPr>
              <w:t>本项目与市“蓝天、碧水、净土保卫战实施方案”符合性分析</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65"/>
              <w:gridCol w:w="4617"/>
              <w:gridCol w:w="3165"/>
              <w:gridCol w:w="48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908"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bCs w:val="0"/>
                      <w:color w:val="000000" w:themeColor="text1"/>
                      <w:spacing w:val="0"/>
                      <w:sz w:val="21"/>
                      <w:szCs w:val="21"/>
                      <w:vertAlign w:val="baseline"/>
                      <w:lang w:val="en-US" w:eastAsia="zh-CN"/>
                      <w14:textFill>
                        <w14:solidFill>
                          <w14:schemeClr w14:val="tx1"/>
                        </w14:solidFill>
                      </w14:textFill>
                    </w:rPr>
                    <w:t>文件相关要求</w:t>
                  </w:r>
                </w:p>
              </w:tc>
              <w:tc>
                <w:tcPr>
                  <w:tcW w:w="181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bCs w:val="0"/>
                      <w:color w:val="000000" w:themeColor="text1"/>
                      <w:spacing w:val="0"/>
                      <w:sz w:val="21"/>
                      <w:szCs w:val="21"/>
                      <w:vertAlign w:val="baseline"/>
                      <w:lang w:val="en-US" w:eastAsia="zh-CN"/>
                      <w14:textFill>
                        <w14:solidFill>
                          <w14:schemeClr w14:val="tx1"/>
                        </w14:solidFill>
                      </w14:textFill>
                    </w:rPr>
                    <w:t>本项目</w:t>
                  </w:r>
                </w:p>
              </w:tc>
              <w:tc>
                <w:tcPr>
                  <w:tcW w:w="2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val="0"/>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bCs w:val="0"/>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7" w:hRule="atLeast"/>
                <w:jc w:val="center"/>
              </w:trPr>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蓝天保卫战实施方案</w:t>
                  </w:r>
                </w:p>
              </w:tc>
              <w:tc>
                <w:tcPr>
                  <w:tcW w:w="264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26.</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持续加大无组织排放整治力度</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...督促企业通过采取设备与场所密闭、工艺改进、废气有效收集等措施，对VOCs无组织排放废气进行综合治理。</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31.优化重点行业绩效分级管理。强化重污染天气应急分类分级管控，持续推进重点行业企业绩效分级，加强应急减排清单标准化管理，鼓励企业加快实施升级改造，建立完善“有进有出”动态调整机制，着力培育一批绩效水平高、行业带动强的绿色标杆企业，对存在环境违法违规行为、环境绩效水平达不到相应指标要求的企业实施降级处理。</w:t>
                  </w:r>
                </w:p>
              </w:tc>
              <w:tc>
                <w:tcPr>
                  <w:tcW w:w="1811" w:type="pct"/>
                  <w:tcBorders>
                    <w:tl2br w:val="nil"/>
                    <w:tr2bl w:val="nil"/>
                  </w:tcBorders>
                  <w:noWrap w:val="0"/>
                  <w:vAlign w:val="center"/>
                </w:tcPr>
                <w:p>
                  <w:pPr>
                    <w:keepNext w:val="0"/>
                    <w:keepLines w:val="0"/>
                    <w:pageBreakBefore w:val="0"/>
                    <w:widowControl/>
                    <w:suppressLineNumbers w:val="0"/>
                    <w:kinsoku/>
                    <w:wordWrap w:val="0"/>
                    <w:topLinePunct w:val="0"/>
                    <w:autoSpaceDE/>
                    <w:autoSpaceDN/>
                    <w:bidi w:val="0"/>
                    <w:adjustRightInd/>
                    <w:jc w:val="left"/>
                    <w:textAlignment w:val="auto"/>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宋体"/>
                      <w:b w:val="0"/>
                      <w:bCs w:val="0"/>
                      <w:color w:val="000000" w:themeColor="text1"/>
                      <w:spacing w:val="0"/>
                      <w:sz w:val="21"/>
                      <w:szCs w:val="21"/>
                      <w:lang w:val="en-US" w:eastAsia="zh-CN"/>
                      <w14:textFill>
                        <w14:solidFill>
                          <w14:schemeClr w14:val="tx1"/>
                        </w14:solidFill>
                      </w14:textFill>
                    </w:rPr>
                    <w:t>本项目</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危险废物贮存区在车间内二次密闭，采用负压抽风方式对废气进行收集，采用活性炭吸附+催化燃烧装置处理废气，处理效率＞9</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0%</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。项目危险废物在储存、转移、运输时均在密闭容器内。</w:t>
                  </w:r>
                </w:p>
                <w:p>
                  <w:pPr>
                    <w:keepNext w:val="0"/>
                    <w:keepLines w:val="0"/>
                    <w:pageBreakBefore w:val="0"/>
                    <w:widowControl/>
                    <w:suppressLineNumbers w:val="0"/>
                    <w:kinsoku/>
                    <w:wordWrap w:val="0"/>
                    <w:topLinePunct w:val="0"/>
                    <w:autoSpaceDE/>
                    <w:autoSpaceDN/>
                    <w:bidi w:val="0"/>
                    <w:adjustRightInd/>
                    <w:jc w:val="left"/>
                    <w:textAlignment w:val="auto"/>
                    <w:rPr>
                      <w:rFonts w:hint="default" w:ascii="Times New Roman" w:hAnsi="Times New Roman"/>
                      <w:color w:val="000000" w:themeColor="text1"/>
                      <w:spacing w:val="0"/>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项目建设符合</w:t>
                  </w:r>
                  <w:r>
                    <w:rPr>
                      <w:rFonts w:hint="eastAsia" w:ascii="Times New Roman" w:hAnsi="Times New Roman" w:eastAsia="宋体" w:cs="Times New Roman"/>
                      <w:bCs/>
                      <w:color w:val="000000" w:themeColor="text1"/>
                      <w:spacing w:val="0"/>
                      <w:sz w:val="21"/>
                      <w:szCs w:val="21"/>
                      <w:vertAlign w:val="baseline"/>
                      <w:lang w:val="en-US" w:eastAsia="zh-CN"/>
                      <w14:textFill>
                        <w14:solidFill>
                          <w14:schemeClr w14:val="tx1"/>
                        </w14:solidFill>
                      </w14:textFill>
                    </w:rPr>
                    <w:t>《河南省重污染天气通用行业应急减排措施制定技术指南》（2021年修订版）要求。</w:t>
                  </w:r>
                </w:p>
              </w:tc>
              <w:tc>
                <w:tcPr>
                  <w:tcW w:w="2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bCs/>
                      <w:color w:val="000000" w:themeColor="text1"/>
                      <w:spacing w:val="0"/>
                      <w:sz w:val="21"/>
                      <w:szCs w:val="21"/>
                      <w:vertAlign w:val="baseline"/>
                      <w:lang w:val="en-US" w:eastAsia="zh-CN"/>
                      <w14:textFill>
                        <w14:solidFill>
                          <w14:schemeClr w14:val="tx1"/>
                        </w14:solidFill>
                      </w14:textFill>
                    </w:rPr>
                    <w:t>碧水保卫战实施方案</w:t>
                  </w:r>
                </w:p>
              </w:tc>
              <w:tc>
                <w:tcPr>
                  <w:tcW w:w="264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t>20.推动企业绿色转型发展。严格落实环境准入，落实“三线一单”生态环境分区管控体系，构建以“三线一单”为空间管控基础、环境影响评价为环境准入把关、排污许可为企业运行守法依据的生态环境管理框架。</w:t>
                  </w:r>
                </w:p>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t>22.加强水环境风险防控。以涉危涉重企业、工业园区等为重点，加强水环境风险日常监管与水污染防治设施安全隐患排查，强化应急设施建设。</w:t>
                  </w:r>
                </w:p>
              </w:tc>
              <w:tc>
                <w:tcPr>
                  <w:tcW w:w="1811" w:type="pct"/>
                  <w:tcBorders>
                    <w:tl2br w:val="nil"/>
                    <w:tr2bl w:val="nil"/>
                  </w:tcBorders>
                  <w:noWrap w:val="0"/>
                  <w:vAlign w:val="center"/>
                </w:tcPr>
                <w:p>
                  <w:pPr>
                    <w:keepNext/>
                    <w:keepLines w:val="0"/>
                    <w:pageBreakBefore w:val="0"/>
                    <w:widowControl w:val="0"/>
                    <w:kinsoku/>
                    <w:wordWrap w:val="0"/>
                    <w:overflowPunct w:val="0"/>
                    <w:topLinePunct w:val="0"/>
                    <w:autoSpaceDE/>
                    <w:autoSpaceDN/>
                    <w:bidi w:val="0"/>
                    <w:adjustRightInd/>
                    <w:snapToGrid w:val="0"/>
                    <w:spacing w:line="240" w:lineRule="auto"/>
                    <w:ind w:left="0" w:firstLine="0"/>
                    <w:jc w:val="left"/>
                    <w:textAlignment w:val="auto"/>
                    <w:outlineLvl w:val="9"/>
                    <w:rPr>
                      <w:rFonts w:hint="default" w:ascii="Times New Roman" w:hAnsi="Times New Roman" w:eastAsia="宋体" w:cs="宋体"/>
                      <w:b w:val="0"/>
                      <w:bCs/>
                      <w:color w:val="000000" w:themeColor="text1"/>
                      <w:spacing w:val="0"/>
                      <w:sz w:val="21"/>
                      <w:szCs w:val="21"/>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lang w:val="en-US" w:eastAsia="zh-CN"/>
                      <w14:textFill>
                        <w14:solidFill>
                          <w14:schemeClr w14:val="tx1"/>
                        </w14:solidFill>
                      </w14:textFill>
                    </w:rPr>
                    <w:t>项目符合许昌市及襄城县“三线一单”生态环境管控要求。项目无生产废水，生活污水经化粪池处理后，综合利用，不外排。危废贮存设施等重点区域采取地面防渗措施、严格的管理制度等，可有效防止对地表水环境的影响。</w:t>
                  </w:r>
                </w:p>
              </w:tc>
              <w:tc>
                <w:tcPr>
                  <w:tcW w:w="27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净土保卫战实施方案</w:t>
                  </w:r>
                </w:p>
              </w:tc>
              <w:tc>
                <w:tcPr>
                  <w:tcW w:w="2642" w:type="pct"/>
                  <w:tcBorders>
                    <w:tl2br w:val="nil"/>
                    <w:tr2bl w:val="nil"/>
                  </w:tcBorders>
                  <w:noWrap w:val="0"/>
                  <w:vAlign w:val="center"/>
                </w:tcPr>
                <w:p>
                  <w:pPr>
                    <w:keepNext w:val="0"/>
                    <w:keepLines w:val="0"/>
                    <w:pageBreakBefore w:val="0"/>
                    <w:widowControl/>
                    <w:suppressLineNumbers w:val="0"/>
                    <w:kinsoku/>
                    <w:wordWrap w:val="0"/>
                    <w:topLinePunct w:val="0"/>
                    <w:autoSpaceDE/>
                    <w:autoSpaceDN/>
                    <w:bidi w:val="0"/>
                    <w:adjustRightInd/>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t>5.全面加强固体废物监管。持续开展危险废物排查整治，</w:t>
                  </w:r>
                </w:p>
                <w:p>
                  <w:pPr>
                    <w:keepNext w:val="0"/>
                    <w:keepLines w:val="0"/>
                    <w:pageBreakBefore w:val="0"/>
                    <w:widowControl/>
                    <w:suppressLineNumbers w:val="0"/>
                    <w:kinsoku/>
                    <w:wordWrap w:val="0"/>
                    <w:topLinePunct w:val="0"/>
                    <w:autoSpaceDE/>
                    <w:autoSpaceDN/>
                    <w:bidi w:val="0"/>
                    <w:adjustRightInd/>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t>全面提升危险废物环境监管、利用处置和环境风险防范“三个能力”，推动危险废物监管和利用处置能力改革工作。</w:t>
                  </w:r>
                  <w:r>
                    <w:rPr>
                      <w:rFonts w:hint="eastAsia" w:ascii="Times New Roman" w:hAnsi="Times New Roman" w:eastAsia="宋体"/>
                      <w:bCs/>
                      <w:color w:val="000000" w:themeColor="text1"/>
                      <w:spacing w:val="0"/>
                      <w:sz w:val="21"/>
                      <w:szCs w:val="21"/>
                      <w:vertAlign w:val="baseline"/>
                      <w:lang w:val="en-US" w:eastAsia="zh-CN"/>
                      <w14:textFill>
                        <w14:solidFill>
                          <w14:schemeClr w14:val="tx1"/>
                        </w14:solidFill>
                      </w14:textFill>
                    </w:rPr>
                    <w:t>...</w:t>
                  </w:r>
                  <w:r>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t>持续开展小微企业危险废物收集和废铅酸蓄电池收集转运试点工作。</w:t>
                  </w:r>
                </w:p>
              </w:tc>
              <w:tc>
                <w:tcPr>
                  <w:tcW w:w="181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本项目为危险废物治理项目，项目建设有利于提高危险废物收集、转运水平。项目</w:t>
                  </w:r>
                  <w:r>
                    <w:rPr>
                      <w:rFonts w:hint="eastAsia" w:ascii="Times New Roman" w:hAnsi="Times New Roman" w:eastAsia="宋体" w:cs="宋体"/>
                      <w:b w:val="0"/>
                      <w:bCs/>
                      <w:color w:val="000000" w:themeColor="text1"/>
                      <w:spacing w:val="0"/>
                      <w:sz w:val="21"/>
                      <w:szCs w:val="21"/>
                      <w:lang w:val="en-US" w:eastAsia="zh-CN"/>
                      <w14:textFill>
                        <w14:solidFill>
                          <w14:schemeClr w14:val="tx1"/>
                        </w14:solidFill>
                      </w14:textFill>
                    </w:rPr>
                    <w:t>危废贮存设施等重点区域采取地面防渗措施、严格的管理制度等，可有效避免对地下水环境造成污染。</w:t>
                  </w:r>
                </w:p>
              </w:tc>
              <w:tc>
                <w:tcPr>
                  <w:tcW w:w="279"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eastAsia" w:ascii="Times New Roman" w:hAnsi="Times New Roman"/>
                      <w:bCs/>
                      <w:color w:val="000000" w:themeColor="text1"/>
                      <w:spacing w:val="0"/>
                      <w:sz w:val="21"/>
                      <w:szCs w:val="21"/>
                      <w:vertAlign w:val="baseline"/>
                      <w:lang w:val="en-US" w:eastAsia="zh-CN"/>
                      <w14:textFill>
                        <w14:solidFill>
                          <w14:schemeClr w14:val="tx1"/>
                        </w14:solidFill>
                      </w14:textFill>
                    </w:rPr>
                  </w:pPr>
                </w:p>
              </w:tc>
              <w:tc>
                <w:tcPr>
                  <w:tcW w:w="264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14.加强重点污染源风险管控。以化学品生产企业、加油站、尾矿库、垃圾填埋场、危险废物处置场、产业集聚区、矿山开采区等为重点，强化地下水重点污染源风险排查和管控。</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811"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p>
              </w:tc>
              <w:tc>
                <w:tcPr>
                  <w:tcW w:w="27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left"/>
                    <w:textAlignment w:val="auto"/>
                    <w:rPr>
                      <w:rFonts w:hint="default" w:ascii="Times New Roman" w:hAnsi="Times New Roman" w:eastAsia="宋体"/>
                      <w:bCs/>
                      <w:color w:val="000000" w:themeColor="text1"/>
                      <w:spacing w:val="0"/>
                      <w:sz w:val="21"/>
                      <w:szCs w:val="21"/>
                      <w:vertAlign w:val="baseline"/>
                      <w:lang w:val="en-US" w:eastAsia="zh-CN"/>
                      <w14:textFill>
                        <w14:solidFill>
                          <w14:schemeClr w14:val="tx1"/>
                        </w14:solidFill>
                      </w14:textFill>
                    </w:rPr>
                  </w:pP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综上，项目建设符合《关于印发许昌市2023年蓝天保卫战实施方案的通知》（许环委办〔2023〕3号）、《关于印发许昌市2023年碧水保卫战实施方案的通知》（许环委办〔2023〕5号）和《关于印发许昌市2023年净土保卫战实施方案的通知》（许环委办〔2023〕6号）的相关要求。</w:t>
            </w:r>
          </w:p>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pPr>
            <w:r>
              <w:rPr>
                <w:rFonts w:hint="eastAsia" w:ascii="Times New Roman" w:hAnsi="Times New Roman"/>
                <w:b/>
                <w:bCs w:val="0"/>
                <w:color w:val="000000" w:themeColor="text1"/>
                <w:spacing w:val="0"/>
                <w:sz w:val="24"/>
                <w:szCs w:val="20"/>
                <w:lang w:val="en-US" w:eastAsia="zh-CN"/>
                <w14:textFill>
                  <w14:solidFill>
                    <w14:schemeClr w14:val="tx1"/>
                  </w14:solidFill>
                </w14:textFill>
              </w:rPr>
              <w:t>1.8</w:t>
            </w:r>
            <w:r>
              <w:rPr>
                <w:rFonts w:hint="default"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与《</w:t>
            </w:r>
            <w:r>
              <w:rPr>
                <w:rFonts w:hint="eastAsia"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危险废物收集贮存运输技术规范</w:t>
            </w:r>
            <w:r>
              <w:rPr>
                <w:rFonts w:hint="default"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w:t>
            </w:r>
            <w:r>
              <w:rPr>
                <w:rFonts w:hint="eastAsia"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（HJ 2025-2012）</w:t>
            </w:r>
            <w:r>
              <w:rPr>
                <w:rFonts w:hint="default"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相符性分析</w:t>
            </w:r>
          </w:p>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val="0"/>
                <w:bCs w:val="0"/>
                <w:color w:val="000000" w:themeColor="text1"/>
                <w:spacing w:val="0"/>
                <w:kern w:val="0"/>
                <w:sz w:val="21"/>
                <w:szCs w:val="21"/>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sz w:val="24"/>
                <w:szCs w:val="24"/>
                <w:u w:val="none"/>
                <w:lang w:val="en-US" w:eastAsia="zh-CN"/>
                <w14:textFill>
                  <w14:solidFill>
                    <w14:schemeClr w14:val="tx1"/>
                  </w14:solidFill>
                </w14:textFill>
              </w:rPr>
              <w:t>经对比《危险废物收集贮存运输技术规范》</w:t>
            </w:r>
            <w:r>
              <w:rPr>
                <w:rFonts w:hint="eastAsia" w:ascii="Times New Roman" w:hAnsi="Times New Roman" w:eastAsia="宋体" w:cs="Times New Roman"/>
                <w:b w:val="0"/>
                <w:bCs w:val="0"/>
                <w:color w:val="000000" w:themeColor="text1"/>
                <w:spacing w:val="0"/>
                <w:kern w:val="0"/>
                <w:sz w:val="24"/>
                <w:szCs w:val="22"/>
                <w:u w:val="none"/>
                <w:lang w:val="en-US" w:eastAsia="zh-CN"/>
                <w14:textFill>
                  <w14:solidFill>
                    <w14:schemeClr w14:val="tx1"/>
                  </w14:solidFill>
                </w14:textFill>
              </w:rPr>
              <w:t>（HJ 2025-2012），项目与其相关内容相符性分析见下表。</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b/>
                <w:bCs w:val="0"/>
                <w:color w:val="000000" w:themeColor="text1"/>
                <w:spacing w:val="0"/>
                <w:sz w:val="21"/>
                <w:szCs w:val="16"/>
                <w:lang w:val="en-US" w:eastAsia="zh-CN"/>
                <w14:textFill>
                  <w14:solidFill>
                    <w14:schemeClr w14:val="tx1"/>
                  </w14:solidFill>
                </w14:textFill>
              </w:rPr>
            </w:pPr>
            <w:r>
              <w:rPr>
                <w:rFonts w:hint="eastAsia" w:ascii="Times New Roman" w:hAnsi="Times New Roman"/>
                <w:b/>
                <w:bCs w:val="0"/>
                <w:color w:val="000000" w:themeColor="text1"/>
                <w:spacing w:val="0"/>
                <w:sz w:val="21"/>
                <w:szCs w:val="16"/>
                <w:lang w:val="en-US" w:eastAsia="zh-CN"/>
                <w14:textFill>
                  <w14:solidFill>
                    <w14:schemeClr w14:val="tx1"/>
                  </w14:solidFill>
                </w14:textFill>
              </w:rPr>
              <w:t>表1-7  项目与</w:t>
            </w:r>
            <w:r>
              <w:rPr>
                <w:rFonts w:hint="default"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w:t>
            </w:r>
            <w:r>
              <w:rPr>
                <w:rFonts w:hint="eastAsia"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危险废物收集贮存运输技术规范</w:t>
            </w:r>
            <w:r>
              <w:rPr>
                <w:rFonts w:hint="default"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w:t>
            </w:r>
            <w:r>
              <w:rPr>
                <w:rFonts w:hint="eastAsia" w:ascii="Times New Roman" w:hAnsi="Times New Roman" w:eastAsia="宋体" w:cs="Times New Roman"/>
                <w:b/>
                <w:bCs/>
                <w:color w:val="000000" w:themeColor="text1"/>
                <w:spacing w:val="0"/>
                <w:kern w:val="0"/>
                <w:sz w:val="24"/>
                <w:szCs w:val="22"/>
                <w:u w:val="none"/>
                <w:lang w:val="en-US" w:eastAsia="zh-CN"/>
                <w14:textFill>
                  <w14:solidFill>
                    <w14:schemeClr w14:val="tx1"/>
                  </w14:solidFill>
                </w14:textFill>
              </w:rPr>
              <w:t>（HJ 2025-2012）</w:t>
            </w:r>
            <w:r>
              <w:rPr>
                <w:rFonts w:hint="eastAsia" w:ascii="Times New Roman" w:hAnsi="Times New Roman"/>
                <w:b/>
                <w:bCs w:val="0"/>
                <w:color w:val="000000" w:themeColor="text1"/>
                <w:spacing w:val="0"/>
                <w:sz w:val="21"/>
                <w:szCs w:val="16"/>
                <w:lang w:val="en-US" w:eastAsia="zh-CN"/>
                <w14:textFill>
                  <w14:solidFill>
                    <w14:schemeClr w14:val="tx1"/>
                  </w14:solidFill>
                </w14:textFill>
              </w:rPr>
              <w:t>相符性分析</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07"/>
              <w:gridCol w:w="3753"/>
              <w:gridCol w:w="3056"/>
              <w:gridCol w:w="91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类别</w:t>
                  </w:r>
                </w:p>
              </w:tc>
              <w:tc>
                <w:tcPr>
                  <w:tcW w:w="214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规范要求</w:t>
                  </w:r>
                </w:p>
              </w:tc>
              <w:tc>
                <w:tcPr>
                  <w:tcW w:w="17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项目建设情况</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一般要求</w:t>
                  </w: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从事危险废物收集、贮存、运输经营活动的单位应具有危险废物经营许可证。在收集、贮存、运输危险废物时，应根据危险废物收集、贮存、处置经营许可证核发的有关规定建立相应的规章制度和污染防治措施，包括危险废物分析管理制度、安全管理制度、污染防治措施等；危险废物产生单位内部自行从事的危险废物收集、贮存、运输活动应遵照国家相关管理规定，建立建全规章制度及操作流程，确保该过程的安全、可靠。</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尚处在环评阶段，未来办理的经营范围按工程设计中要求的类别进行申请。并建立企业规章制度和污染防治措施，包括危险废物分析管理制度、安全管理制度、污染防治措施等；项目生产过程产生的危险废物委托有资质单位收集处置。</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危险废物转移过程应按《危险废物转移联单管理办法》执行。</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危险废物转移过程按《危险废物转移联单管理办法》执行。</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贮存、运输单位应建立规范的管理和技术人员培训制度，定期针对管理和技术人员进行培训。培训内容至少应包括危险废物鉴别要求、危险废物经营许可证管理、危险废物转移联单管理、危险废物包装和标识、危险废物运输要求、危险废物事故应急方法等。</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贮存、运输单位建立规范的管理和技术人员培训制度，定期针对管理和技术人员进行培训。培训内容包括危险废物鉴别要求、危险废物经营许可证管理、危险废物转移联单管理、危险废物包装和标识、危险废物运输要求、危险废物事故应急方法。</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贮存、运输单位应编制应急预案。应急预案编制可参照《危险废物经营单位编制应急预案指南》，涉及运输的相关内容还应符合交通行政主管部门的有关规定。针对危险废物收集、贮存、运输过程中的事故易发环节应定期组织应急演练。</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待项目建成运行后，按照相关管理办法编制突发环境事件应急预案，并报生态环境主管部门备案管理，定期组织应急演练。</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ascii="Times New Roman" w:hAnsi="Times New Roman"/>
                      <w:color w:val="000000" w:themeColor="text1"/>
                      <w:spacing w:val="0"/>
                      <w:sz w:val="21"/>
                      <w:szCs w:val="21"/>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危险废物收集、贮存、运输过程中一旦发生意外事故，收集、贮存、运输单位及相关部门应根据风险程度采取如下措施：</w:t>
                  </w:r>
                </w:p>
                <w:p>
                  <w:pPr>
                    <w:keepNext w:val="0"/>
                    <w:keepLines w:val="0"/>
                    <w:pageBreakBefore w:val="0"/>
                    <w:widowControl/>
                    <w:suppressLineNumbers w:val="0"/>
                    <w:kinsoku/>
                    <w:wordWrap w:val="0"/>
                    <w:topLinePunct w:val="0"/>
                    <w:bidi w:val="0"/>
                    <w:jc w:val="both"/>
                    <w:rPr>
                      <w:rFonts w:hint="default" w:ascii="Times New Roman" w:hAnsi="Times New Roman" w:cs="Times New Roman"/>
                      <w:color w:val="000000" w:themeColor="text1"/>
                      <w:spacing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设立事故警戒线，启动应急预案，并按《环境保护行政主管部门突发环境事件信息报告办法(试行)》（环发[2006]50号）要求进行报告。</w:t>
                  </w:r>
                </w:p>
                <w:p>
                  <w:pPr>
                    <w:keepNext w:val="0"/>
                    <w:keepLines w:val="0"/>
                    <w:pageBreakBefore w:val="0"/>
                    <w:widowControl/>
                    <w:suppressLineNumbers w:val="0"/>
                    <w:kinsoku/>
                    <w:wordWrap w:val="0"/>
                    <w:topLinePunct w:val="0"/>
                    <w:bidi w:val="0"/>
                    <w:jc w:val="both"/>
                    <w:rPr>
                      <w:rFonts w:hint="default" w:ascii="Times New Roman" w:hAnsi="Times New Roman" w:cs="Times New Roman"/>
                      <w:color w:val="000000" w:themeColor="text1"/>
                      <w:spacing w:val="0"/>
                      <w:sz w:val="21"/>
                      <w:szCs w:val="21"/>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若造成事故的危险废物具有剧毒性、易燃性、爆炸性或高传染性，应立即疏散人群，并请求环境保护、消防、医疗、公安等相关部门支援。</w:t>
                  </w:r>
                </w:p>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对事故现场受到污染的土壤和水体等环境介质应进行相应的清理和修复。</w:t>
                  </w:r>
                </w:p>
                <w:p>
                  <w:pPr>
                    <w:keepNext w:val="0"/>
                    <w:keepLines w:val="0"/>
                    <w:pageBreakBefore w:val="0"/>
                    <w:widowControl/>
                    <w:suppressLineNumbers w:val="0"/>
                    <w:kinsoku/>
                    <w:wordWrap w:val="0"/>
                    <w:topLinePunct w:val="0"/>
                    <w:bidi w:val="0"/>
                    <w:jc w:val="both"/>
                    <w:rPr>
                      <w:rFonts w:hint="default" w:ascii="Times New Roman" w:hAnsi="Times New Roman"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(4)清理过程中产生的所有废物均应按危险废物进行管理和处置。</w:t>
                  </w:r>
                </w:p>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(5)进入现场清理和包装危险废物的人员应受过专业培训，穿着防护服，并佩戴相应的防护用具。</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ascii="Times New Roman" w:hAnsi="Times New Roman"/>
                      <w:color w:val="000000" w:themeColor="text1"/>
                      <w:spacing w:val="0"/>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危险废物收集、贮存、运输过程中一旦发生意外事故，建设单位应根据风险程度采取如下措施：</w:t>
                  </w:r>
                </w:p>
                <w:p>
                  <w:pPr>
                    <w:keepNext w:val="0"/>
                    <w:keepLines w:val="0"/>
                    <w:pageBreakBefore w:val="0"/>
                    <w:widowControl/>
                    <w:suppressLineNumbers w:val="0"/>
                    <w:kinsoku/>
                    <w:wordWrap w:val="0"/>
                    <w:topLinePunct w:val="0"/>
                    <w:bidi w:val="0"/>
                    <w:jc w:val="both"/>
                    <w:rPr>
                      <w:rFonts w:ascii="Times New Roman" w:hAnsi="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设立事故警戒线，启动应急预案，并按《环境保护行政主管部门突发环境事件信息报告办法</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试行</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》（环发</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[2006]50</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号）要求进行报告。</w:t>
                  </w:r>
                </w:p>
                <w:p>
                  <w:pPr>
                    <w:keepNext w:val="0"/>
                    <w:keepLines w:val="0"/>
                    <w:pageBreakBefore w:val="0"/>
                    <w:widowControl/>
                    <w:suppressLineNumbers w:val="0"/>
                    <w:kinsoku/>
                    <w:wordWrap w:val="0"/>
                    <w:topLinePunct w:val="0"/>
                    <w:bidi w:val="0"/>
                    <w:jc w:val="both"/>
                    <w:rPr>
                      <w:rFonts w:ascii="Times New Roman" w:hAnsi="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本项目若发生较大事故，影响超出危废暂存库范围时，应立即疏散人群，并请求环境保护、消防、医疗、公安等相关部门支援。</w:t>
                  </w:r>
                </w:p>
                <w:p>
                  <w:pPr>
                    <w:keepNext w:val="0"/>
                    <w:keepLines w:val="0"/>
                    <w:pageBreakBefore w:val="0"/>
                    <w:widowControl/>
                    <w:suppressLineNumbers w:val="0"/>
                    <w:kinsoku/>
                    <w:wordWrap w:val="0"/>
                    <w:topLinePunct w:val="0"/>
                    <w:bidi w:val="0"/>
                    <w:jc w:val="both"/>
                    <w:rPr>
                      <w:rFonts w:ascii="Times New Roman" w:hAnsi="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对事故现场受到污染的土壤和水体等环境介质进行相应的清理和修复。</w:t>
                  </w:r>
                </w:p>
                <w:p>
                  <w:pPr>
                    <w:keepNext w:val="0"/>
                    <w:keepLines w:val="0"/>
                    <w:pageBreakBefore w:val="0"/>
                    <w:widowControl/>
                    <w:suppressLineNumbers w:val="0"/>
                    <w:kinsoku/>
                    <w:wordWrap w:val="0"/>
                    <w:topLinePunct w:val="0"/>
                    <w:bidi w:val="0"/>
                    <w:jc w:val="both"/>
                    <w:rPr>
                      <w:rFonts w:ascii="Times New Roman" w:hAnsi="Times New Roman"/>
                      <w:color w:val="000000" w:themeColor="text1"/>
                      <w:spacing w:val="0"/>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(4)</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清理过程中产生的所有废物均按危险废物进行管理和处置。</w:t>
                  </w:r>
                </w:p>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(5)</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进入现场清理和包装危险废物的人员受过专业培训，穿着防护服，并佩戴相应的防护用具。</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2" w:hRule="atLeast"/>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危险废物收集、贮存、运输时应按腐蚀性、毒性、易燃性、反应性和感染性等危险特性对危险废物进行分类、包装并设置相应的标志及标签。</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危险废物收集、贮存、运输时按腐蚀性、毒性、易燃性、反应性和感染性等危险特性对危险废物进行分类、包装并设置相应的标志及标签。</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废铅酸蓄电池的收集、贮存和运输应按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HJ519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执行。</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废铅酸蓄电池的收集、贮存和运输应按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HJ519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执行。</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收集</w:t>
                  </w: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危险废物的收集应制定详细的操作规程，内容至少应包括适用范围、操作程序和方法、专用设备和工具、转移和交接、安全保障和应急防护。</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项目各类危险废物的收集均制定有详细的操作规程。</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危险废物收集和转运作业人员应根据工作需要配备必要的个人防护装备，如手套、防护镜、防护服、防毒面具或口罩等。</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项目收集和转运工作人员工作时带有手套、防护镜、防护服、防毒面具等个人防护装备。</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在危险废物的收集和转运过程中，应采取相应的安全防护和污染防治措施，包括防爆、防火、防中毒、防感染、防泄露、防飞扬、防雨或其它防止污染环境的措施。</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项目各类危险废物的收集和转运均采取了相应的安全防护和污染防治措施。</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危险废物的收集作业应满足如下要求：（1）应根据收集设备、转运车辆以及现场人员等实际情况确定相应作业区域，同时要设置作业界限标志和警示牌。</w:t>
                  </w:r>
                </w:p>
                <w:p>
                  <w:pPr>
                    <w:keepNext w:val="0"/>
                    <w:keepLines w:val="0"/>
                    <w:pageBreakBefore w:val="0"/>
                    <w:widowControl/>
                    <w:numPr>
                      <w:ilvl w:val="0"/>
                      <w:numId w:val="1"/>
                    </w:numPr>
                    <w:suppressLineNumbers w:val="0"/>
                    <w:kinsoku/>
                    <w:wordWrap w:val="0"/>
                    <w:topLinePunct w:val="0"/>
                    <w:bidi w:val="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作业区域内应设置危险废物收集专用通道和人员避险通道。</w:t>
                  </w:r>
                </w:p>
                <w:p>
                  <w:pPr>
                    <w:keepNext w:val="0"/>
                    <w:keepLines w:val="0"/>
                    <w:pageBreakBefore w:val="0"/>
                    <w:widowControl/>
                    <w:numPr>
                      <w:ilvl w:val="0"/>
                      <w:numId w:val="1"/>
                    </w:numPr>
                    <w:suppressLineNumbers w:val="0"/>
                    <w:kinsoku/>
                    <w:wordWrap w:val="0"/>
                    <w:topLinePunct w:val="0"/>
                    <w:bidi w:val="0"/>
                    <w:ind w:left="0" w:leftChars="0" w:firstLine="0" w:firstLine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收集时应配备必要的收集工具和包装物，以及必要的应急监测设备及应急装备。</w:t>
                  </w:r>
                </w:p>
                <w:p>
                  <w:pPr>
                    <w:keepNext w:val="0"/>
                    <w:keepLines w:val="0"/>
                    <w:pageBreakBefore w:val="0"/>
                    <w:widowControl/>
                    <w:numPr>
                      <w:ilvl w:val="0"/>
                      <w:numId w:val="1"/>
                    </w:numPr>
                    <w:suppressLineNumbers w:val="0"/>
                    <w:kinsoku/>
                    <w:wordWrap w:val="0"/>
                    <w:topLinePunct w:val="0"/>
                    <w:bidi w:val="0"/>
                    <w:ind w:left="0" w:leftChars="0" w:firstLine="0" w:firstLine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危险废物收集应参照本标准附录A填写记录表，并将记录表作为危险废物管理的重要档案妥善保存。</w:t>
                  </w:r>
                </w:p>
                <w:p>
                  <w:pPr>
                    <w:keepNext w:val="0"/>
                    <w:keepLines w:val="0"/>
                    <w:pageBreakBefore w:val="0"/>
                    <w:widowControl/>
                    <w:numPr>
                      <w:ilvl w:val="0"/>
                      <w:numId w:val="0"/>
                    </w:numPr>
                    <w:suppressLineNumbers w:val="0"/>
                    <w:kinsoku/>
                    <w:wordWrap w:val="0"/>
                    <w:topLinePunct w:val="0"/>
                    <w:bidi w:val="0"/>
                    <w:ind w:leftChars="0"/>
                    <w:jc w:val="both"/>
                    <w:rPr>
                      <w:rFonts w:hint="default" w:ascii="Times New Roman" w:hAnsi="Times New Roman" w:eastAsia="宋体"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（5）收集结束后应清理和恢复收集作业区域，确保作业区域环境整洁安全。（6）收集过危险废物的容器、设备、设施、场所及其它物品转作他用时，应消除污染，确保其使用安全。</w:t>
                  </w:r>
                </w:p>
              </w:tc>
              <w:tc>
                <w:tcPr>
                  <w:tcW w:w="1749" w:type="pct"/>
                  <w:tcBorders>
                    <w:tl2br w:val="nil"/>
                    <w:tr2bl w:val="nil"/>
                  </w:tcBorders>
                  <w:noWrap w:val="0"/>
                  <w:vAlign w:val="center"/>
                </w:tcPr>
                <w:p>
                  <w:pPr>
                    <w:keepNext w:val="0"/>
                    <w:keepLines w:val="0"/>
                    <w:pageBreakBefore w:val="0"/>
                    <w:widowControl/>
                    <w:numPr>
                      <w:ilvl w:val="0"/>
                      <w:numId w:val="0"/>
                    </w:numPr>
                    <w:suppressLineNumbers w:val="0"/>
                    <w:kinsoku/>
                    <w:wordWrap w:val="0"/>
                    <w:topLinePunct w:val="0"/>
                    <w:bidi w:val="0"/>
                    <w:ind w:left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项目设置有相应作业区域，作业界限标志和警示牌。</w:t>
                  </w:r>
                </w:p>
                <w:p>
                  <w:pPr>
                    <w:keepNext w:val="0"/>
                    <w:keepLines w:val="0"/>
                    <w:pageBreakBefore w:val="0"/>
                    <w:widowControl/>
                    <w:numPr>
                      <w:ilvl w:val="0"/>
                      <w:numId w:val="0"/>
                    </w:numPr>
                    <w:suppressLineNumbers w:val="0"/>
                    <w:kinsoku/>
                    <w:wordWrap w:val="0"/>
                    <w:topLinePunct w:val="0"/>
                    <w:bidi w:val="0"/>
                    <w:ind w:left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项目配备有必要的收集工具和包装物，以及必要的应急监测设备及消防沙池、灭火器、呼吸防护面具、护目镜等应急装备。</w:t>
                  </w:r>
                </w:p>
                <w:p>
                  <w:pPr>
                    <w:keepNext w:val="0"/>
                    <w:keepLines w:val="0"/>
                    <w:pageBreakBefore w:val="0"/>
                    <w:widowControl/>
                    <w:numPr>
                      <w:ilvl w:val="0"/>
                      <w:numId w:val="0"/>
                    </w:numPr>
                    <w:suppressLineNumbers w:val="0"/>
                    <w:kinsoku/>
                    <w:wordWrap w:val="0"/>
                    <w:topLinePunct w:val="0"/>
                    <w:bidi w:val="0"/>
                    <w:ind w:left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收集结束后及时清理和恢复收集作业区域，确保作业区域环境整洁安全。</w:t>
                  </w:r>
                </w:p>
                <w:p>
                  <w:pPr>
                    <w:keepNext w:val="0"/>
                    <w:keepLines w:val="0"/>
                    <w:pageBreakBefore w:val="0"/>
                    <w:widowControl/>
                    <w:numPr>
                      <w:ilvl w:val="0"/>
                      <w:numId w:val="0"/>
                    </w:numPr>
                    <w:suppressLineNumbers w:val="0"/>
                    <w:kinsoku/>
                    <w:wordWrap w:val="0"/>
                    <w:topLinePunct w:val="0"/>
                    <w:bidi w:val="0"/>
                    <w:ind w:left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危险废物收集填写记录表，并将记录表作为危险废物管理的重要档案妥善保存。</w:t>
                  </w:r>
                </w:p>
                <w:p>
                  <w:pPr>
                    <w:keepNext w:val="0"/>
                    <w:keepLines w:val="0"/>
                    <w:pageBreakBefore w:val="0"/>
                    <w:widowControl/>
                    <w:suppressLineNumbers w:val="0"/>
                    <w:kinsoku/>
                    <w:wordWrap w:val="0"/>
                    <w:topLinePunct w:val="0"/>
                    <w:bidi w:val="0"/>
                    <w:jc w:val="left"/>
                    <w:rPr>
                      <w:rFonts w:hint="default"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收集过危险废物的容器、设备、设施、场所及其它物品转作他用时，应消除污染，确保其使用安全。</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numPr>
                      <w:ilvl w:val="0"/>
                      <w:numId w:val="0"/>
                    </w:numPr>
                    <w:suppressLineNumbers w:val="0"/>
                    <w:kinsoku/>
                    <w:wordWrap w:val="0"/>
                    <w:topLinePunct w:val="0"/>
                    <w:bidi w:val="0"/>
                    <w:ind w:left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危险废物内部转运作业应满足如下要求：</w:t>
                  </w:r>
                </w:p>
                <w:p>
                  <w:pPr>
                    <w:keepNext w:val="0"/>
                    <w:keepLines w:val="0"/>
                    <w:pageBreakBefore w:val="0"/>
                    <w:widowControl/>
                    <w:numPr>
                      <w:ilvl w:val="0"/>
                      <w:numId w:val="2"/>
                    </w:numPr>
                    <w:suppressLineNumbers w:val="0"/>
                    <w:kinsoku/>
                    <w:wordWrap w:val="0"/>
                    <w:topLinePunct w:val="0"/>
                    <w:bidi w:val="0"/>
                    <w:ind w:left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危险废物内部转运应综合考虑厂区的实际情况确定转运路线，尽量避开办公区和生活区。</w:t>
                  </w:r>
                </w:p>
                <w:p>
                  <w:pPr>
                    <w:keepNext w:val="0"/>
                    <w:keepLines w:val="0"/>
                    <w:pageBreakBefore w:val="0"/>
                    <w:widowControl/>
                    <w:numPr>
                      <w:ilvl w:val="0"/>
                      <w:numId w:val="2"/>
                    </w:numPr>
                    <w:suppressLineNumbers w:val="0"/>
                    <w:kinsoku/>
                    <w:wordWrap w:val="0"/>
                    <w:topLinePunct w:val="0"/>
                    <w:bidi w:val="0"/>
                    <w:ind w:left="0" w:leftChars="0" w:firstLine="0" w:firstLineChars="0"/>
                    <w:jc w:val="both"/>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危险废物内部转运作业应采用专用的工具，危险废物内部转运应参照本标准附录B填写《危险废物厂内转运记录表》。</w:t>
                  </w:r>
                </w:p>
                <w:p>
                  <w:pPr>
                    <w:keepNext w:val="0"/>
                    <w:keepLines w:val="0"/>
                    <w:pageBreakBefore w:val="0"/>
                    <w:widowControl/>
                    <w:numPr>
                      <w:ilvl w:val="0"/>
                      <w:numId w:val="0"/>
                    </w:numPr>
                    <w:suppressLineNumbers w:val="0"/>
                    <w:kinsoku/>
                    <w:wordWrap w:val="0"/>
                    <w:topLinePunct w:val="0"/>
                    <w:bidi w:val="0"/>
                    <w:ind w:leftChars="0"/>
                    <w:jc w:val="both"/>
                    <w:rPr>
                      <w:rFonts w:hint="default"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（3）危险废物内部转运结束后，应对转运路线进行检查和清理，确保无危险废物遗失在转运路线上，并对转运工具进行清洗。</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项目</w:t>
                  </w:r>
                  <w:r>
                    <w:rPr>
                      <w:rFonts w:hint="eastAsia" w:ascii="Times New Roman" w:hAnsi="Times New Roman" w:eastAsia="宋体" w:cs="宋体"/>
                      <w:color w:val="000000" w:themeColor="text1"/>
                      <w:spacing w:val="0"/>
                      <w:kern w:val="0"/>
                      <w:sz w:val="21"/>
                      <w:szCs w:val="21"/>
                      <w:u w:val="single"/>
                      <w:lang w:val="en-US" w:eastAsia="zh-CN" w:bidi="ar"/>
                      <w14:textFill>
                        <w14:solidFill>
                          <w14:schemeClr w14:val="tx1"/>
                        </w14:solidFill>
                      </w14:textFill>
                    </w:rPr>
                    <w:t>建成后，运输委托有危险货物运输资质的单位进行</w:t>
                  </w:r>
                  <w:r>
                    <w:rPr>
                      <w:rFonts w:hint="eastAsia" w:cs="宋体"/>
                      <w:color w:val="000000" w:themeColor="text1"/>
                      <w:spacing w:val="0"/>
                      <w:kern w:val="0"/>
                      <w:sz w:val="21"/>
                      <w:szCs w:val="21"/>
                      <w:u w:val="single"/>
                      <w:lang w:val="en-US" w:eastAsia="zh-CN" w:bidi="ar"/>
                      <w14:textFill>
                        <w14:solidFill>
                          <w14:schemeClr w14:val="tx1"/>
                        </w14:solidFill>
                      </w14:textFill>
                    </w:rPr>
                    <w:t>。</w:t>
                  </w:r>
                </w:p>
                <w:p>
                  <w:pPr>
                    <w:keepNext w:val="0"/>
                    <w:keepLines w:val="0"/>
                    <w:pageBreakBefore w:val="0"/>
                    <w:widowControl/>
                    <w:suppressLineNumbers w:val="0"/>
                    <w:kinsoku/>
                    <w:wordWrap w:val="0"/>
                    <w:topLinePunct w:val="0"/>
                    <w:bidi w:val="0"/>
                    <w:jc w:val="left"/>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运输路线尽量避开办公区和生活区。</w:t>
                  </w:r>
                </w:p>
                <w:p>
                  <w:pPr>
                    <w:keepNext w:val="0"/>
                    <w:keepLines w:val="0"/>
                    <w:pageBreakBefore w:val="0"/>
                    <w:widowControl/>
                    <w:suppressLineNumbers w:val="0"/>
                    <w:kinsoku/>
                    <w:wordWrap w:val="0"/>
                    <w:topLinePunct w:val="0"/>
                    <w:bidi w:val="0"/>
                    <w:jc w:val="left"/>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危险废物内部转运结束后，安排人员对转运路线进行检查和清理，确保无危险废物遗失在转运路线上，并对转运工具进行清洗。</w:t>
                  </w:r>
                </w:p>
                <w:p>
                  <w:pPr>
                    <w:keepNext w:val="0"/>
                    <w:keepLines w:val="0"/>
                    <w:pageBreakBefore w:val="0"/>
                    <w:widowControl/>
                    <w:suppressLineNumbers w:val="0"/>
                    <w:kinsoku/>
                    <w:wordWrap w:val="0"/>
                    <w:topLinePunct w:val="0"/>
                    <w:bidi w:val="0"/>
                    <w:jc w:val="left"/>
                    <w:rPr>
                      <w:rFonts w:hint="eastAsia" w:cs="宋体"/>
                      <w:color w:val="000000" w:themeColor="text1"/>
                      <w:spacing w:val="0"/>
                      <w:kern w:val="0"/>
                      <w:sz w:val="21"/>
                      <w:szCs w:val="21"/>
                      <w:u w:val="single"/>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危险废物内部转运作业应采用专用的工具，填写记录表。</w:t>
                  </w:r>
                </w:p>
                <w:p>
                  <w:pPr>
                    <w:keepNext w:val="0"/>
                    <w:keepLines w:val="0"/>
                    <w:pageBreakBefore w:val="0"/>
                    <w:widowControl/>
                    <w:suppressLineNumbers w:val="0"/>
                    <w:kinsoku/>
                    <w:wordWrap w:val="0"/>
                    <w:topLinePunct w:val="0"/>
                    <w:bidi w:val="0"/>
                    <w:jc w:val="left"/>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pPr>
                  <w:r>
                    <w:rPr>
                      <w:rFonts w:hint="eastAsia" w:cs="宋体"/>
                      <w:color w:val="000000" w:themeColor="text1"/>
                      <w:spacing w:val="0"/>
                      <w:kern w:val="0"/>
                      <w:sz w:val="21"/>
                      <w:szCs w:val="21"/>
                      <w:u w:val="single"/>
                      <w:lang w:val="en-US" w:eastAsia="zh-CN" w:bidi="ar"/>
                      <w14:textFill>
                        <w14:solidFill>
                          <w14:schemeClr w14:val="tx1"/>
                        </w14:solidFill>
                      </w14:textFill>
                    </w:rPr>
                    <w:t>危险废物内部转运结束后，应对转运路线进行检查和清理，确保无危险废物遗失在转运路线上，并对转运工具进行清洗。</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贮存</w:t>
                  </w: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危险废物贮存设施应配备通讯设备、照明设施和消防设施。</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项目仓库配备通讯设备、照明设施和消防设施。</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贮存危险废物时应按危险废物的种类和特性进行分区贮存，每个贮存区域之间宜设置挡墙间隔，并应设置防雨、防火、防雷、防扬尘装置。</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项目各类危废按照危险废物种类和特性进行分区贮存，每个贮存区域之间设置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2m</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高挡墙或地面划线分隔，厂房封闭，能够防雨、防扬尘、防雷。配备灭火器等防火装置。</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危险废物贮存单位应建立危险废物贮存的台帐制度。</w:t>
                  </w:r>
                </w:p>
              </w:tc>
              <w:tc>
                <w:tcPr>
                  <w:tcW w:w="17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项目建成后设台账</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制度</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危险废物贮存设施应根据贮存的废物种类和特性按照</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GB18597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附录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A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设置标志。</w:t>
                  </w:r>
                </w:p>
              </w:tc>
              <w:tc>
                <w:tcPr>
                  <w:tcW w:w="17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项目废物贮存设施根据贮存的废物种类和特性按照GB18597 附录 A 设置标志。</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运输</w:t>
                  </w: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危险废物运输应由持有危险废物经营许可证的单按照其许可证的经营范围组织实施，承担危险废物运输的单位应获得交通运输部门颁发的危险货物运输资质</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项目尚处在环评阶段，未来办理的经营范围按工程设计中要求的类别进行申请。建成后，项目运输委托有危险货物运输资质的单位进行</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7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148"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运输单位承运危险废物时，应在危险废物包装上按照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GB18597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 xml:space="preserve">附录 </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 xml:space="preserve">A </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设置标志</w:t>
                  </w:r>
                </w:p>
              </w:tc>
              <w:tc>
                <w:tcPr>
                  <w:tcW w:w="174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要求运输单位在危险废物包装上设置相应标志</w:t>
                  </w:r>
                </w:p>
              </w:tc>
              <w:tc>
                <w:tcPr>
                  <w:tcW w:w="52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hint="default" w:ascii="Times New Roman" w:hAnsi="Times New Roman"/>
                <w:b/>
                <w:bCs w:val="0"/>
                <w:color w:val="000000" w:themeColor="text1"/>
                <w:spacing w:val="0"/>
                <w:sz w:val="24"/>
                <w:szCs w:val="20"/>
                <w:lang w:val="en-US" w:eastAsia="zh-CN"/>
                <w14:textFill>
                  <w14:solidFill>
                    <w14:schemeClr w14:val="tx1"/>
                  </w14:solidFill>
                </w14:textFill>
              </w:rPr>
            </w:pPr>
            <w:r>
              <w:rPr>
                <w:rFonts w:hint="eastAsia" w:ascii="Times New Roman" w:hAnsi="Times New Roman"/>
                <w:b/>
                <w:bCs w:val="0"/>
                <w:color w:val="000000" w:themeColor="text1"/>
                <w:spacing w:val="0"/>
                <w:sz w:val="24"/>
                <w:szCs w:val="20"/>
                <w:lang w:val="en-US" w:eastAsia="zh-CN"/>
                <w14:textFill>
                  <w14:solidFill>
                    <w14:schemeClr w14:val="tx1"/>
                  </w14:solidFill>
                </w14:textFill>
              </w:rPr>
              <w:t>1.9与《危险废物贮存污染控制标准》（GB18597-2023）相符性分析</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根据《危险废物贮存污染控制标准》（GB18597-2023）中管理要求，本项目与该规范的相符性分析见下表。</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bCs w:val="0"/>
                <w:color w:val="000000" w:themeColor="text1"/>
                <w:spacing w:val="0"/>
                <w:sz w:val="21"/>
                <w:szCs w:val="16"/>
                <w:lang w:val="en-US" w:eastAsia="zh-CN"/>
                <w14:textFill>
                  <w14:solidFill>
                    <w14:schemeClr w14:val="tx1"/>
                  </w14:solidFill>
                </w14:textFill>
              </w:rPr>
            </w:pPr>
            <w:r>
              <w:rPr>
                <w:rFonts w:hint="eastAsia" w:ascii="Times New Roman" w:hAnsi="Times New Roman"/>
                <w:b/>
                <w:bCs w:val="0"/>
                <w:color w:val="000000" w:themeColor="text1"/>
                <w:spacing w:val="0"/>
                <w:sz w:val="21"/>
                <w:szCs w:val="16"/>
                <w:lang w:val="en-US" w:eastAsia="zh-CN"/>
                <w14:textFill>
                  <w14:solidFill>
                    <w14:schemeClr w14:val="tx1"/>
                  </w14:solidFill>
                </w14:textFill>
              </w:rPr>
              <w:t>表1-8  项目与《危险废物贮存污染控制标准》（GB18597-2023）相符性分析</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69"/>
              <w:gridCol w:w="3598"/>
              <w:gridCol w:w="3443"/>
              <w:gridCol w:w="92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类别</w:t>
                  </w:r>
                </w:p>
              </w:tc>
              <w:tc>
                <w:tcPr>
                  <w:tcW w:w="205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规范要求</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本项目</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总体</w:t>
                  </w: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要求</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产生、收集、贮存、利用、处置危险废物的单位应建造危险废物贮存设施或设置贮存场所，并根据需要选择贮存设施类型</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本项目租赁现有厂房改造为危险废物贮存车间，地面</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进行</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防腐防渗，并设置事故池等</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风险防范设施</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贮存废物应根据危险废物的类别、形态、物理化学性质和污染防治要求进行分类贮存，且应避免危险废物与不相容的物质或材料接触</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收集的各类危险废物，均按照其类别、形态、物理化学性质和污染防治要求等，进行分区贮存，避免与不相容的物质或材料接触</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贮存设施或场所、容器和包装物应按HJ1276要求设置危险废物贮存设施或场所标志、危险废物贮存分区标志和危险废物标签等危险废物识别标志</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贮存设施或场所、容器和包装物</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均按要求设置标志</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u w:val="non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贮存危险废物应根据危险废物的形态、物理化学性质、包装形式和污染物迁移途径，采取措施减少渗滤液及其衍生废物、渗漏的液态废物（简称渗漏液）、粉尘、VOCs、酸雾、有毒有害大气污染物和刺激性气味气体等污染物的产生，防止其污染环境。</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项目贮存的危险废物根据其形态、物理化学性质、包装形式和污染物迁移途径等，分区贮存，并采取防渗及废气收集处理等措施减少污染物的产生。</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cs="Times New Roman"/>
                      <w:color w:val="000000" w:themeColor="text1"/>
                      <w:kern w:val="0"/>
                      <w:sz w:val="21"/>
                      <w:szCs w:val="21"/>
                      <w:u w:val="single"/>
                      <w:lang w:val="en-US" w:eastAsia="zh-CN" w:bidi="ar"/>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贮存设施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cs="Times New Roman"/>
                      <w:color w:val="000000" w:themeColor="text1"/>
                      <w:kern w:val="0"/>
                      <w:sz w:val="21"/>
                      <w:szCs w:val="21"/>
                      <w:u w:val="single"/>
                      <w:lang w:val="en-US" w:eastAsia="zh-CN" w:bidi="ar"/>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评价要求项目退役时，所有者或运营者应依法履行环境保护责任，退役前应妥善处理处置贮存设施内剩余的危险废物，并对贮存设施进行清理，消除污染；还应依据土壤污染防治相关法律法规履行场地环境风险防控责任。</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贮存设施选址要求</w:t>
                  </w:r>
                </w:p>
              </w:tc>
              <w:tc>
                <w:tcPr>
                  <w:tcW w:w="205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集中贮存设施不应选在生态保护红线区域、永久基本农田和其他需要特别保护的区域内，不应建在溶洞区或易遭受洪水、滑坡、泥石流、潮汐等严重自然灾害影响的地区</w:t>
                  </w:r>
                </w:p>
              </w:tc>
              <w:tc>
                <w:tcPr>
                  <w:tcW w:w="197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项目选址位于规划的硅碳新材料产业园黄洋铜业院内，不涉及</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生态保护红线区域、永久基本农田和其他需要特别保护的区域，不在江河、湖泊、运河、渠道、水库及其最高水位线以下的滩地和岸坡，以及法律法规规定禁止贮存危险废物的其他地点</w:t>
                  </w:r>
                  <w:r>
                    <w:rPr>
                      <w:rFonts w:hint="eastAsia" w:cs="Times New Roman"/>
                      <w:color w:val="000000" w:themeColor="text1"/>
                      <w:kern w:val="0"/>
                      <w:sz w:val="21"/>
                      <w:szCs w:val="21"/>
                      <w:lang w:val="en-US" w:eastAsia="zh-CN" w:bidi="ar"/>
                      <w14:textFill>
                        <w14:solidFill>
                          <w14:schemeClr w14:val="tx1"/>
                        </w14:solidFill>
                      </w14:textFill>
                    </w:rPr>
                    <w:t>。</w:t>
                  </w:r>
                  <w:r>
                    <w:rPr>
                      <w:rFonts w:hint="eastAsia" w:cs="Times New Roman"/>
                      <w:color w:val="000000" w:themeColor="text1"/>
                      <w:kern w:val="0"/>
                      <w:sz w:val="21"/>
                      <w:szCs w:val="21"/>
                      <w:u w:val="single"/>
                      <w:lang w:val="en-US" w:eastAsia="zh-CN" w:bidi="ar"/>
                      <w14:textFill>
                        <w14:solidFill>
                          <w14:schemeClr w14:val="tx1"/>
                        </w14:solidFill>
                      </w14:textFill>
                    </w:rPr>
                    <w:t>项目</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满足生态环境保护法律法规、规划和“三线一单”生态环境分区管控的要求，项目</w:t>
                  </w:r>
                  <w:r>
                    <w:rPr>
                      <w:rFonts w:hint="eastAsia" w:cs="Times New Roman"/>
                      <w:color w:val="000000" w:themeColor="text1"/>
                      <w:kern w:val="0"/>
                      <w:sz w:val="21"/>
                      <w:szCs w:val="21"/>
                      <w:u w:val="single"/>
                      <w:lang w:val="en-US" w:eastAsia="zh-CN" w:bidi="ar"/>
                      <w14:textFill>
                        <w14:solidFill>
                          <w14:schemeClr w14:val="tx1"/>
                        </w14:solidFill>
                      </w14:textFill>
                    </w:rPr>
                    <w:t>正</w:t>
                  </w: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依法进行环境影响评价</w:t>
                  </w:r>
                  <w:r>
                    <w:rPr>
                      <w:rFonts w:hint="eastAsia" w:cs="Times New Roman"/>
                      <w:color w:val="000000" w:themeColor="text1"/>
                      <w:kern w:val="0"/>
                      <w:sz w:val="21"/>
                      <w:szCs w:val="21"/>
                      <w:u w:val="single"/>
                      <w:lang w:val="en-US" w:eastAsia="zh-CN" w:bidi="ar"/>
                      <w14:textFill>
                        <w14:solidFill>
                          <w14:schemeClr w14:val="tx1"/>
                        </w14:solidFill>
                      </w14:textFill>
                    </w:rPr>
                    <w:t>。</w:t>
                  </w:r>
                </w:p>
              </w:tc>
              <w:tc>
                <w:tcPr>
                  <w:tcW w:w="529"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贮存设施选址应满足生态环境保护法律法规、规划和“三线一单”生态环境分区管控的要求，建设项目应依法进行环境影响评价。</w:t>
                  </w:r>
                </w:p>
              </w:tc>
              <w:tc>
                <w:tcPr>
                  <w:tcW w:w="197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52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贮存设施不应选在江河、湖泊、运河、渠道、水库及其最高水位线以下的滩地和岸坡，以及法律法规规定禁止贮存危险废物的其他地点</w:t>
                  </w:r>
                </w:p>
              </w:tc>
              <w:tc>
                <w:tcPr>
                  <w:tcW w:w="1970" w:type="pct"/>
                  <w:vMerge w:val="continue"/>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52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360" w:hRule="atLeast"/>
              </w:trPr>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贮存设施污染控制要求</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贮存设施应根据危险废物的形态、物理化学性质、包装形式和污染物迁移途径，采取必要的防风、防晒、防雨、防漏、防渗、防腐以及其他环境污染防治措施，不应露天堆放危险废物</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按要求采取污染防治措施</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贮存设施地面与裙脚应采取表面防渗措施；表面防渗材料应与所接触的物料或污染物相容，可采用抗渗混凝土、高密度聚乙烯膜、钠基膨润土防水毯或其他防渗性能等效的材料。贮存的危险废物直接接触地面的，还应进行基础防渗，防渗层为至少1m厚黏土层（渗透系数不大于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cm/s），或至少2mm厚高密度聚乙烯膜等人工防渗材料（渗透系数不大于10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-10</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cm/s），或其他防渗性能等效的材料</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14:textFill>
                        <w14:solidFill>
                          <w14:schemeClr w14:val="tx1"/>
                        </w14:solidFill>
                      </w14:textFill>
                    </w:rPr>
                    <w:t>项目厂房地面、裙角采用商品混凝土建造，地面全部硬化，防渗层为三层玻璃纤维布、五遍树脂（环氧树脂等）复合而成的玻璃钢防腐衬</w:t>
                  </w:r>
                  <w:r>
                    <w:rPr>
                      <w:rFonts w:hint="default" w:ascii="Times New Roman" w:hAnsi="Times New Roman" w:eastAsia="宋体" w:cs="Times New Roman"/>
                      <w:color w:val="000000" w:themeColor="text1"/>
                      <w:spacing w:val="1"/>
                      <w:sz w:val="21"/>
                      <w:szCs w:val="21"/>
                      <w14:textFill>
                        <w14:solidFill>
                          <w14:schemeClr w14:val="tx1"/>
                        </w14:solidFill>
                      </w14:textFill>
                    </w:rPr>
                    <w:t>层，地面和墙壁厚度均为3</w:t>
                  </w:r>
                  <w:r>
                    <w:rPr>
                      <w:rFonts w:hint="default" w:ascii="Times New Roman" w:hAnsi="Times New Roman" w:eastAsia="宋体" w:cs="Times New Roman"/>
                      <w:color w:val="000000" w:themeColor="text1"/>
                      <w:sz w:val="21"/>
                      <w:szCs w:val="21"/>
                      <w14:textFill>
                        <w14:solidFill>
                          <w14:schemeClr w14:val="tx1"/>
                        </w14:solidFill>
                      </w14:textFill>
                    </w:rPr>
                    <w:t>mm</w:t>
                  </w:r>
                  <w:r>
                    <w:rPr>
                      <w:rFonts w:hint="default" w:ascii="Times New Roman" w:hAnsi="Times New Roman" w:eastAsia="宋体" w:cs="Times New Roman"/>
                      <w:color w:val="000000" w:themeColor="text1"/>
                      <w:spacing w:val="1"/>
                      <w:sz w:val="21"/>
                      <w:szCs w:val="21"/>
                      <w14:textFill>
                        <w14:solidFill>
                          <w14:schemeClr w14:val="tx1"/>
                        </w14:solidFill>
                      </w14:textFill>
                    </w:rPr>
                    <w:t>，</w:t>
                  </w:r>
                  <w:r>
                    <w:rPr>
                      <w:rFonts w:hint="default" w:ascii="Times New Roman" w:hAnsi="Times New Roman" w:eastAsia="宋体" w:cs="Times New Roman"/>
                      <w:color w:val="000000" w:themeColor="text1"/>
                      <w:spacing w:val="-2"/>
                      <w:sz w:val="21"/>
                      <w:szCs w:val="21"/>
                      <w14:textFill>
                        <w14:solidFill>
                          <w14:schemeClr w14:val="tx1"/>
                        </w14:solidFill>
                      </w14:textFill>
                    </w:rPr>
                    <w:t>墙壁防腐防渗衬层高度约为</w:t>
                  </w:r>
                  <w:r>
                    <w:rPr>
                      <w:rFonts w:hint="default" w:ascii="Times New Roman" w:hAnsi="Times New Roman" w:eastAsia="宋体" w:cs="Times New Roman"/>
                      <w:color w:val="000000" w:themeColor="text1"/>
                      <w:spacing w:val="12"/>
                      <w:sz w:val="21"/>
                      <w:szCs w:val="21"/>
                      <w14:textFill>
                        <w14:solidFill>
                          <w14:schemeClr w14:val="tx1"/>
                        </w14:solidFill>
                      </w14:textFill>
                    </w:rPr>
                    <w:t>50</w:t>
                  </w:r>
                  <w:r>
                    <w:rPr>
                      <w:rFonts w:hint="default" w:ascii="Times New Roman" w:hAnsi="Times New Roman" w:eastAsia="宋体" w:cs="Times New Roman"/>
                      <w:color w:val="000000" w:themeColor="text1"/>
                      <w:sz w:val="21"/>
                      <w:szCs w:val="21"/>
                      <w14:textFill>
                        <w14:solidFill>
                          <w14:schemeClr w14:val="tx1"/>
                        </w14:solidFill>
                      </w14:textFill>
                    </w:rPr>
                    <w:t>cm</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危险废物产生者和危险废物贮存设施经营者均须作好危险废物情况的记录，记录上须注明危险废物的名称、来源、数量、特性和包装容器的类别、入库日期、存放库位、废物出库日期及接收单位名称</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项目设置台账，内容包含危险废物的名称、来源、数量、特性和包装容器的类别、入库日期、存放库位、废物出库日期及接收单位名称</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等</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cs="Times New Roman"/>
                      <w:b w:val="0"/>
                      <w:bCs/>
                      <w:color w:val="000000" w:themeColor="text1"/>
                      <w:spacing w:val="0"/>
                      <w:sz w:val="21"/>
                      <w:szCs w:val="21"/>
                      <w:u w:val="single"/>
                      <w:vertAlign w:val="baseline"/>
                      <w:lang w:val="en-US" w:eastAsia="zh-CN"/>
                      <w14:textFill>
                        <w14:solidFill>
                          <w14:schemeClr w14:val="tx1"/>
                        </w14:solidFill>
                      </w14:textFill>
                    </w:rPr>
                    <w:t>贮存库</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贮存库内不同贮存分区之间应采取隔离措施。隔离措施可根据危险废物特性采用过道、隔板或隔墙等方式。</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eastAsia" w:cs="Times New Roman"/>
                      <w:color w:val="000000" w:themeColor="text1"/>
                      <w:spacing w:val="0"/>
                      <w:kern w:val="0"/>
                      <w:sz w:val="21"/>
                      <w:szCs w:val="21"/>
                      <w:u w:val="single"/>
                      <w:lang w:val="en-US" w:eastAsia="zh-CN" w:bidi="ar"/>
                      <w14:textFill>
                        <w14:solidFill>
                          <w14:schemeClr w14:val="tx1"/>
                        </w14:solidFill>
                      </w14:textFill>
                    </w:rPr>
                    <w:t>项目不同贮存区采用隔板或隔墙进行隔离。</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b w:val="0"/>
                      <w:bCs/>
                      <w:color w:val="000000" w:themeColor="text1"/>
                      <w:spacing w:val="0"/>
                      <w:sz w:val="21"/>
                      <w:szCs w:val="21"/>
                      <w:u w:val="single"/>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在贮存库内或通过贮存分区方式贮存液态危险废物的，应具有液体泄漏堵截设施，堵截设施最小容积不应低于对应贮存区域最大液态废物容器容积或液态废物总储量1/10（二者取较大者）；用于贮存可能产生渗滤液的危险废物的贮存库或贮存分区应设计渗滤液收集设施，收集设施容积应满足渗滤液的收集要求。</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cs="Times New Roman"/>
                      <w:color w:val="000000" w:themeColor="text1"/>
                      <w:spacing w:val="0"/>
                      <w:kern w:val="0"/>
                      <w:sz w:val="21"/>
                      <w:szCs w:val="21"/>
                      <w:u w:val="single"/>
                      <w:lang w:val="en-US" w:eastAsia="zh-CN" w:bidi="ar"/>
                      <w14:textFill>
                        <w14:solidFill>
                          <w14:schemeClr w14:val="tx1"/>
                        </w14:solidFill>
                      </w14:textFill>
                    </w:rPr>
                  </w:pPr>
                  <w:r>
                    <w:rPr>
                      <w:rFonts w:hint="eastAsia" w:cs="Times New Roman"/>
                      <w:color w:val="000000" w:themeColor="text1"/>
                      <w:spacing w:val="0"/>
                      <w:kern w:val="0"/>
                      <w:sz w:val="21"/>
                      <w:szCs w:val="21"/>
                      <w:u w:val="single"/>
                      <w:lang w:val="en-US" w:eastAsia="zh-CN" w:bidi="ar"/>
                      <w14:textFill>
                        <w14:solidFill>
                          <w14:schemeClr w14:val="tx1"/>
                        </w14:solidFill>
                      </w14:textFill>
                    </w:rPr>
                    <w:t>项目液态废物贮存区设置有至少0.3m高的围堰，且地面进行防渗处理。围堰有效容积大于对应贮存区域最大液态废物容器容积或液态废物总储量1/10。</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b w:val="0"/>
                      <w:bCs/>
                      <w:color w:val="000000" w:themeColor="text1"/>
                      <w:spacing w:val="0"/>
                      <w:sz w:val="21"/>
                      <w:szCs w:val="21"/>
                      <w:u w:val="single"/>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贮存易产生粉尘、VOCs、酸雾、有毒有害大气污染物和刺激性气味气体的危险废物贮存库，应设置气体收集装置和气体净化设施；气体净化设施的排气筒高度应符合GB16297要求。</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cs="Times New Roman"/>
                      <w:color w:val="000000" w:themeColor="text1"/>
                      <w:spacing w:val="0"/>
                      <w:kern w:val="0"/>
                      <w:sz w:val="21"/>
                      <w:szCs w:val="21"/>
                      <w:u w:val="single"/>
                      <w:lang w:val="en-US" w:eastAsia="zh-CN" w:bidi="ar"/>
                      <w14:textFill>
                        <w14:solidFill>
                          <w14:schemeClr w14:val="tx1"/>
                        </w14:solidFill>
                      </w14:textFill>
                    </w:rPr>
                  </w:pPr>
                  <w:r>
                    <w:rPr>
                      <w:rFonts w:hint="eastAsia" w:cs="Times New Roman"/>
                      <w:color w:val="000000" w:themeColor="text1"/>
                      <w:spacing w:val="0"/>
                      <w:kern w:val="0"/>
                      <w:sz w:val="21"/>
                      <w:szCs w:val="21"/>
                      <w:u w:val="single"/>
                      <w:lang w:val="en-US" w:eastAsia="zh-CN" w:bidi="ar"/>
                      <w14:textFill>
                        <w14:solidFill>
                          <w14:schemeClr w14:val="tx1"/>
                        </w14:solidFill>
                      </w14:textFill>
                    </w:rPr>
                    <w:t>项目配套有</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VOCs</w:t>
                  </w:r>
                  <w:r>
                    <w:rPr>
                      <w:rFonts w:hint="eastAsia" w:cs="Times New Roman"/>
                      <w:color w:val="000000" w:themeColor="text1"/>
                      <w:spacing w:val="0"/>
                      <w:kern w:val="0"/>
                      <w:sz w:val="21"/>
                      <w:szCs w:val="21"/>
                      <w:u w:val="single"/>
                      <w:lang w:val="en-US" w:eastAsia="zh-CN" w:bidi="ar"/>
                      <w14:textFill>
                        <w14:solidFill>
                          <w14:schemeClr w14:val="tx1"/>
                        </w14:solidFill>
                      </w14:textFill>
                    </w:rPr>
                    <w:t>治理设备，排气筒高度满足</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GB16297要求</w:t>
                  </w:r>
                  <w:r>
                    <w:rPr>
                      <w:rFonts w:hint="eastAsia" w:cs="Times New Roman"/>
                      <w:color w:val="000000" w:themeColor="text1"/>
                      <w:spacing w:val="0"/>
                      <w:kern w:val="0"/>
                      <w:sz w:val="21"/>
                      <w:szCs w:val="21"/>
                      <w:u w:val="single"/>
                      <w:lang w:val="en-US" w:eastAsia="zh-CN" w:bidi="ar"/>
                      <w14:textFill>
                        <w14:solidFill>
                          <w14:schemeClr w14:val="tx1"/>
                        </w14:solidFill>
                      </w14:textFill>
                    </w:rPr>
                    <w:t>。</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cs="Times New Roman"/>
                      <w:b w:val="0"/>
                      <w:bCs/>
                      <w:color w:val="000000" w:themeColor="text1"/>
                      <w:spacing w:val="0"/>
                      <w:sz w:val="21"/>
                      <w:szCs w:val="21"/>
                      <w:u w:val="single"/>
                      <w:vertAlign w:val="baseline"/>
                      <w:lang w:val="en-US" w:eastAsia="zh-CN"/>
                      <w14:textFill>
                        <w14:solidFill>
                          <w14:schemeClr w14:val="tx1"/>
                        </w14:solidFill>
                      </w14:textFill>
                    </w:rPr>
                    <w:t>贮存罐区</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贮存罐区罐体应设置在围堰内，围堰的防渗、防腐性能应满足 6.1.4、6.1.5 的要求。</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spacing w:val="10"/>
                      <w:sz w:val="21"/>
                      <w:szCs w:val="21"/>
                      <w:u w:val="single"/>
                      <w14:textFill>
                        <w14:solidFill>
                          <w14:schemeClr w14:val="tx1"/>
                        </w14:solidFill>
                      </w14:textFill>
                    </w:rPr>
                    <w:t>项目</w:t>
                  </w:r>
                  <w:r>
                    <w:rPr>
                      <w:rFonts w:hint="eastAsia" w:cs="Times New Roman"/>
                      <w:color w:val="000000" w:themeColor="text1"/>
                      <w:spacing w:val="10"/>
                      <w:sz w:val="21"/>
                      <w:szCs w:val="21"/>
                      <w:u w:val="single"/>
                      <w:lang w:val="en-US" w:eastAsia="zh-CN"/>
                      <w14:textFill>
                        <w14:solidFill>
                          <w14:schemeClr w14:val="tx1"/>
                        </w14:solidFill>
                      </w14:textFill>
                    </w:rPr>
                    <w:t>罐区围堰</w:t>
                  </w:r>
                  <w:r>
                    <w:rPr>
                      <w:rFonts w:hint="default" w:ascii="Times New Roman" w:hAnsi="Times New Roman" w:eastAsia="宋体" w:cs="Times New Roman"/>
                      <w:color w:val="000000" w:themeColor="text1"/>
                      <w:spacing w:val="10"/>
                      <w:sz w:val="21"/>
                      <w:szCs w:val="21"/>
                      <w:u w:val="single"/>
                      <w14:textFill>
                        <w14:solidFill>
                          <w14:schemeClr w14:val="tx1"/>
                        </w14:solidFill>
                      </w14:textFill>
                    </w:rPr>
                    <w:t>采用商品混凝土建造，地面全部硬化，防渗层为三层玻璃纤维布、五遍树脂（环氧树脂等）复合而成的玻璃钢防腐衬</w:t>
                  </w:r>
                  <w:r>
                    <w:rPr>
                      <w:rFonts w:hint="default" w:ascii="Times New Roman" w:hAnsi="Times New Roman" w:eastAsia="宋体" w:cs="Times New Roman"/>
                      <w:color w:val="000000" w:themeColor="text1"/>
                      <w:spacing w:val="1"/>
                      <w:sz w:val="21"/>
                      <w:szCs w:val="21"/>
                      <w:u w:val="single"/>
                      <w14:textFill>
                        <w14:solidFill>
                          <w14:schemeClr w14:val="tx1"/>
                        </w14:solidFill>
                      </w14:textFill>
                    </w:rPr>
                    <w:t>层，地面和墙壁厚度均为3</w:t>
                  </w:r>
                  <w:r>
                    <w:rPr>
                      <w:rFonts w:hint="default" w:ascii="Times New Roman" w:hAnsi="Times New Roman" w:eastAsia="宋体" w:cs="Times New Roman"/>
                      <w:color w:val="000000" w:themeColor="text1"/>
                      <w:sz w:val="21"/>
                      <w:szCs w:val="21"/>
                      <w:u w:val="single"/>
                      <w14:textFill>
                        <w14:solidFill>
                          <w14:schemeClr w14:val="tx1"/>
                        </w14:solidFill>
                      </w14:textFill>
                    </w:rPr>
                    <w:t>mm</w:t>
                  </w:r>
                  <w:r>
                    <w:rPr>
                      <w:rFonts w:hint="default" w:ascii="Times New Roman" w:hAnsi="Times New Roman" w:eastAsia="宋体" w:cs="Times New Roman"/>
                      <w:color w:val="000000" w:themeColor="text1"/>
                      <w:spacing w:val="1"/>
                      <w:sz w:val="21"/>
                      <w:szCs w:val="21"/>
                      <w:u w:val="single"/>
                      <w14:textFill>
                        <w14:solidFill>
                          <w14:schemeClr w14:val="tx1"/>
                        </w14:solidFill>
                      </w14:textFill>
                    </w:rPr>
                    <w:t>，</w:t>
                  </w:r>
                  <w:r>
                    <w:rPr>
                      <w:rFonts w:hint="default" w:ascii="Times New Roman" w:hAnsi="Times New Roman" w:eastAsia="宋体" w:cs="Times New Roman"/>
                      <w:color w:val="000000" w:themeColor="text1"/>
                      <w:spacing w:val="-2"/>
                      <w:sz w:val="21"/>
                      <w:szCs w:val="21"/>
                      <w:u w:val="single"/>
                      <w14:textFill>
                        <w14:solidFill>
                          <w14:schemeClr w14:val="tx1"/>
                        </w14:solidFill>
                      </w14:textFill>
                    </w:rPr>
                    <w:t>墙壁防腐防渗衬层高度约为</w:t>
                  </w:r>
                  <w:r>
                    <w:rPr>
                      <w:rFonts w:hint="default" w:ascii="Times New Roman" w:hAnsi="Times New Roman" w:eastAsia="宋体" w:cs="Times New Roman"/>
                      <w:color w:val="000000" w:themeColor="text1"/>
                      <w:spacing w:val="12"/>
                      <w:sz w:val="21"/>
                      <w:szCs w:val="21"/>
                      <w:u w:val="single"/>
                      <w14:textFill>
                        <w14:solidFill>
                          <w14:schemeClr w14:val="tx1"/>
                        </w14:solidFill>
                      </w14:textFill>
                    </w:rPr>
                    <w:t>50</w:t>
                  </w:r>
                  <w:r>
                    <w:rPr>
                      <w:rFonts w:hint="default" w:ascii="Times New Roman" w:hAnsi="Times New Roman" w:eastAsia="宋体" w:cs="Times New Roman"/>
                      <w:color w:val="000000" w:themeColor="text1"/>
                      <w:sz w:val="21"/>
                      <w:szCs w:val="21"/>
                      <w:u w:val="single"/>
                      <w14:textFill>
                        <w14:solidFill>
                          <w14:schemeClr w14:val="tx1"/>
                        </w14:solidFill>
                      </w14:textFill>
                    </w:rPr>
                    <w:t>cm</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b w:val="0"/>
                      <w:bCs/>
                      <w:color w:val="000000" w:themeColor="text1"/>
                      <w:spacing w:val="0"/>
                      <w:sz w:val="21"/>
                      <w:szCs w:val="21"/>
                      <w:u w:val="single"/>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贮存罐区围堰内收集的废液、废水和初期雨水应及时处理，不应直接排放。</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eastAsia" w:cs="Times New Roman"/>
                      <w:color w:val="000000" w:themeColor="text1"/>
                      <w:spacing w:val="0"/>
                      <w:kern w:val="0"/>
                      <w:sz w:val="21"/>
                      <w:szCs w:val="21"/>
                      <w:u w:val="single"/>
                      <w:lang w:val="en-US" w:eastAsia="zh-CN" w:bidi="ar"/>
                      <w14:textFill>
                        <w14:solidFill>
                          <w14:schemeClr w14:val="tx1"/>
                        </w14:solidFill>
                      </w14:textFill>
                    </w:rPr>
                    <w:t>项目</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贮存罐区</w:t>
                  </w:r>
                  <w:r>
                    <w:rPr>
                      <w:rFonts w:hint="eastAsia" w:cs="Times New Roman"/>
                      <w:color w:val="000000" w:themeColor="text1"/>
                      <w:spacing w:val="0"/>
                      <w:kern w:val="0"/>
                      <w:sz w:val="21"/>
                      <w:szCs w:val="21"/>
                      <w:u w:val="single"/>
                      <w:lang w:val="en-US" w:eastAsia="zh-CN" w:bidi="ar"/>
                      <w14:textFill>
                        <w14:solidFill>
                          <w14:schemeClr w14:val="tx1"/>
                        </w14:solidFill>
                      </w14:textFill>
                    </w:rPr>
                    <w:t>设置在室内，正常情况下无废水、废液及初期雨水等，非正常情况下</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贮存罐区围堰内收集的废液、废水和初期雨水，不直接排放</w:t>
                  </w:r>
                  <w:r>
                    <w:rPr>
                      <w:rFonts w:hint="eastAsia" w:cs="Times New Roman"/>
                      <w:color w:val="000000" w:themeColor="text1"/>
                      <w:spacing w:val="0"/>
                      <w:kern w:val="0"/>
                      <w:sz w:val="21"/>
                      <w:szCs w:val="21"/>
                      <w:u w:val="single"/>
                      <w:lang w:val="en-US" w:eastAsia="zh-CN" w:bidi="ar"/>
                      <w14:textFill>
                        <w14:solidFill>
                          <w14:schemeClr w14:val="tx1"/>
                        </w14:solidFill>
                      </w14:textFill>
                    </w:rPr>
                    <w:t>，委托有资质单位处理</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b w:val="0"/>
                      <w:bCs/>
                      <w:color w:val="000000" w:themeColor="text1"/>
                      <w:spacing w:val="0"/>
                      <w:sz w:val="21"/>
                      <w:szCs w:val="21"/>
                      <w:u w:val="single"/>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贮存罐区围堰容积应至少满足其内部最大贮存罐发生意外泄漏时所需要的危险废物收集容积要求。</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10"/>
                      <w:sz w:val="21"/>
                      <w:szCs w:val="21"/>
                      <w:u w:val="single"/>
                      <w14:textFill>
                        <w14:solidFill>
                          <w14:schemeClr w14:val="tx1"/>
                        </w14:solidFill>
                      </w14:textFill>
                    </w:rPr>
                  </w:pPr>
                  <w:r>
                    <w:rPr>
                      <w:rFonts w:hint="default" w:ascii="Times New Roman" w:hAnsi="Times New Roman" w:eastAsia="宋体" w:cs="Times New Roman"/>
                      <w:color w:val="000000" w:themeColor="text1"/>
                      <w:spacing w:val="10"/>
                      <w:sz w:val="21"/>
                      <w:szCs w:val="21"/>
                      <w:u w:val="single"/>
                      <w14:textFill>
                        <w14:solidFill>
                          <w14:schemeClr w14:val="tx1"/>
                        </w14:solidFill>
                      </w14:textFill>
                    </w:rPr>
                    <w:t>项目液态废物贮存区设置有至少0.3m高的围堰，且地面进行防渗处理。围堰有效容积</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满足其内部最大贮存罐发生意外泄漏时所需要的危险废物收集容积要求</w:t>
                  </w:r>
                  <w:r>
                    <w:rPr>
                      <w:rFonts w:hint="eastAsia" w:cs="Times New Roman"/>
                      <w:color w:val="000000" w:themeColor="text1"/>
                      <w:spacing w:val="0"/>
                      <w:kern w:val="0"/>
                      <w:sz w:val="21"/>
                      <w:szCs w:val="21"/>
                      <w:u w:val="single"/>
                      <w:lang w:val="en-US" w:eastAsia="zh-CN" w:bidi="ar"/>
                      <w14:textFill>
                        <w14:solidFill>
                          <w14:schemeClr w14:val="tx1"/>
                        </w14:solidFill>
                      </w14:textFill>
                    </w:rPr>
                    <w:t>。</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容器和包装物污染控制要求</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针对不同类别、形态、物理化学性质的危险废物，其容器和包装物应满足相应的防渗、防漏、防腐和强度等要求</w:t>
                  </w:r>
                </w:p>
              </w:tc>
              <w:tc>
                <w:tcPr>
                  <w:tcW w:w="197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14:textFill>
                        <w14:solidFill>
                          <w14:schemeClr w14:val="tx1"/>
                        </w14:solidFill>
                      </w14:textFill>
                    </w:rPr>
                    <w:t>项目贮存场所地面均做防腐防渗处</w:t>
                  </w:r>
                  <w:r>
                    <w:rPr>
                      <w:rFonts w:hint="default" w:ascii="Times New Roman" w:hAnsi="Times New Roman" w:eastAsia="宋体" w:cs="Times New Roman"/>
                      <w:color w:val="000000" w:themeColor="text1"/>
                      <w:spacing w:val="7"/>
                      <w:sz w:val="21"/>
                      <w:szCs w:val="21"/>
                      <w14:textFill>
                        <w14:solidFill>
                          <w14:schemeClr w14:val="tx1"/>
                        </w14:solidFill>
                      </w14:textFill>
                    </w:rPr>
                    <w:t>理，无裂隙</w:t>
                  </w:r>
                  <w:r>
                    <w:rPr>
                      <w:rFonts w:hint="eastAsia" w:cs="Times New Roman"/>
                      <w:color w:val="000000" w:themeColor="text1"/>
                      <w:spacing w:val="7"/>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7"/>
                      <w:sz w:val="21"/>
                      <w:szCs w:val="21"/>
                      <w:u w:val="single"/>
                      <w14:textFill>
                        <w14:solidFill>
                          <w14:schemeClr w14:val="tx1"/>
                        </w14:solidFill>
                      </w14:textFill>
                    </w:rPr>
                    <w:t>容器和包装物材质、内衬应与盛装的危险废物相容</w:t>
                  </w:r>
                  <w:r>
                    <w:rPr>
                      <w:rFonts w:hint="eastAsia" w:cs="Times New Roman"/>
                      <w:color w:val="000000" w:themeColor="text1"/>
                      <w:spacing w:val="7"/>
                      <w:sz w:val="21"/>
                      <w:szCs w:val="21"/>
                      <w:u w:val="single"/>
                      <w:lang w:eastAsia="zh-CN"/>
                      <w14:textFill>
                        <w14:solidFill>
                          <w14:schemeClr w14:val="tx1"/>
                        </w14:solidFill>
                      </w14:textFill>
                    </w:rPr>
                    <w:t>。容器盛装液态、半固态危险废物时，容器内部留有适当的空间。容器和包装物外表面</w:t>
                  </w:r>
                  <w:r>
                    <w:rPr>
                      <w:rFonts w:hint="eastAsia" w:cs="Times New Roman"/>
                      <w:color w:val="000000" w:themeColor="text1"/>
                      <w:spacing w:val="7"/>
                      <w:sz w:val="21"/>
                      <w:szCs w:val="21"/>
                      <w:u w:val="single"/>
                      <w:lang w:val="en-US" w:eastAsia="zh-CN"/>
                      <w14:textFill>
                        <w14:solidFill>
                          <w14:schemeClr w14:val="tx1"/>
                        </w14:solidFill>
                      </w14:textFill>
                    </w:rPr>
                    <w:t>定期清洁</w:t>
                  </w:r>
                  <w:r>
                    <w:rPr>
                      <w:rFonts w:hint="eastAsia" w:cs="Times New Roman"/>
                      <w:color w:val="000000" w:themeColor="text1"/>
                      <w:spacing w:val="7"/>
                      <w:sz w:val="21"/>
                      <w:szCs w:val="21"/>
                      <w:u w:val="single"/>
                      <w:lang w:eastAsia="zh-CN"/>
                      <w14:textFill>
                        <w14:solidFill>
                          <w14:schemeClr w14:val="tx1"/>
                        </w14:solidFill>
                      </w14:textFill>
                    </w:rPr>
                    <w:t>。</w:t>
                  </w:r>
                </w:p>
              </w:tc>
              <w:tc>
                <w:tcPr>
                  <w:tcW w:w="529"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容器和包装物材质、内衬应与盛装的危险废物相容。</w:t>
                  </w:r>
                </w:p>
              </w:tc>
              <w:tc>
                <w:tcPr>
                  <w:tcW w:w="197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14:textFill>
                        <w14:solidFill>
                          <w14:schemeClr w14:val="tx1"/>
                        </w14:solidFill>
                      </w14:textFill>
                    </w:rPr>
                  </w:pPr>
                </w:p>
              </w:tc>
              <w:tc>
                <w:tcPr>
                  <w:tcW w:w="52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使用容器盛装液态、半固态危险废物时，容器内部应留有适当的空间，以适应因温度变化等可能引发的收缩和膨胀，防止其导致容器渗漏或永久变形。</w:t>
                  </w:r>
                </w:p>
              </w:tc>
              <w:tc>
                <w:tcPr>
                  <w:tcW w:w="197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14:textFill>
                        <w14:solidFill>
                          <w14:schemeClr w14:val="tx1"/>
                        </w14:solidFill>
                      </w14:textFill>
                    </w:rPr>
                  </w:pPr>
                </w:p>
              </w:tc>
              <w:tc>
                <w:tcPr>
                  <w:tcW w:w="52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容器和包装物外表面应保持清洁。</w:t>
                  </w:r>
                </w:p>
              </w:tc>
              <w:tc>
                <w:tcPr>
                  <w:tcW w:w="197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14:textFill>
                        <w14:solidFill>
                          <w14:schemeClr w14:val="tx1"/>
                        </w14:solidFill>
                      </w14:textFill>
                    </w:rPr>
                  </w:pPr>
                </w:p>
              </w:tc>
              <w:tc>
                <w:tcPr>
                  <w:tcW w:w="529"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贮存过程污染控制要求</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贮存设施运行期间，应按国家有关标准和规定建立危险废物管理台账并保存</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项目设有台账，收集的危险废物检验后登记注册</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应定</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期检查危险废物的贮存状况，及时清理贮存设施地面，更换破损泄漏的危险废物贮存容器和包装物，保证堆存危险废物的防雨、防风、防扬尘等设施功能完好。</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安排专人定</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期检查危险废物的贮存状况，及时清理贮存设施地面，更换破损泄漏的危险废物贮存容器和包装物，保证堆存危险废物的防雨、防风、防扬尘等设施功能完好。</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cs="Times New Roman"/>
                      <w:color w:val="000000" w:themeColor="text1"/>
                      <w:kern w:val="0"/>
                      <w:sz w:val="21"/>
                      <w:szCs w:val="21"/>
                      <w:u w:val="single"/>
                      <w:lang w:val="en-US" w:eastAsia="zh-CN" w:bidi="ar"/>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作业设备及车辆等结束作业离开贮存设施时，应对其残留的危险废物进行清理，清理的废物或清洗废水应收集处理。</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cs="Times New Roman"/>
                      <w:color w:val="000000" w:themeColor="text1"/>
                      <w:kern w:val="0"/>
                      <w:sz w:val="21"/>
                      <w:szCs w:val="21"/>
                      <w:u w:val="single"/>
                      <w:lang w:val="en-US" w:eastAsia="zh-CN" w:bidi="ar"/>
                      <w14:textFill>
                        <w14:solidFill>
                          <w14:schemeClr w14:val="tx1"/>
                        </w14:solidFill>
                      </w14:textFill>
                    </w:rPr>
                  </w:pPr>
                  <w:r>
                    <w:rPr>
                      <w:rFonts w:hint="eastAsia" w:cs="Times New Roman"/>
                      <w:color w:val="000000" w:themeColor="text1"/>
                      <w:kern w:val="0"/>
                      <w:sz w:val="21"/>
                      <w:szCs w:val="21"/>
                      <w:u w:val="single"/>
                      <w:lang w:val="en-US" w:eastAsia="zh-CN" w:bidi="ar"/>
                      <w14:textFill>
                        <w14:solidFill>
                          <w14:schemeClr w14:val="tx1"/>
                        </w14:solidFill>
                      </w14:textFill>
                    </w:rPr>
                    <w:t>作业设备及车辆等结束作业离开贮存设施时，对其残留的危险废物进行清理，清理的废物或清洗废水应收集处理。</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贮存点应具有固定的区域边界，并应采取与其他区域进行隔离的措施</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000000" w:themeColor="text1"/>
                      <w:spacing w:val="10"/>
                      <w:sz w:val="21"/>
                      <w:szCs w:val="21"/>
                      <w:lang w:val="en-US" w:eastAsia="zh-CN"/>
                      <w14:textFill>
                        <w14:solidFill>
                          <w14:schemeClr w14:val="tx1"/>
                        </w14:solidFill>
                      </w14:textFill>
                    </w:rPr>
                  </w:pPr>
                  <w:r>
                    <w:rPr>
                      <w:rFonts w:hint="default" w:ascii="Times New Roman" w:hAnsi="Times New Roman" w:eastAsia="宋体" w:cs="Times New Roman"/>
                      <w:color w:val="000000" w:themeColor="text1"/>
                      <w:spacing w:val="2"/>
                      <w:sz w:val="21"/>
                      <w:szCs w:val="21"/>
                      <w14:textFill>
                        <w14:solidFill>
                          <w14:schemeClr w14:val="tx1"/>
                        </w14:solidFill>
                      </w14:textFill>
                    </w:rPr>
                    <w:t>项目各类危废按照危险废物种类和特性进行分区贮存，每个贮存</w:t>
                  </w:r>
                  <w:r>
                    <w:rPr>
                      <w:rFonts w:hint="default" w:ascii="Times New Roman" w:hAnsi="Times New Roman" w:eastAsia="宋体" w:cs="Times New Roman"/>
                      <w:color w:val="000000" w:themeColor="text1"/>
                      <w:spacing w:val="-2"/>
                      <w:sz w:val="21"/>
                      <w:szCs w:val="21"/>
                      <w14:textFill>
                        <w14:solidFill>
                          <w14:schemeClr w14:val="tx1"/>
                        </w14:solidFill>
                      </w14:textFill>
                    </w:rPr>
                    <w:t>区域之间设置2m高挡墙或地面</w:t>
                  </w:r>
                  <w:r>
                    <w:rPr>
                      <w:rFonts w:hint="default" w:ascii="Times New Roman" w:hAnsi="Times New Roman" w:eastAsia="宋体" w:cs="Times New Roman"/>
                      <w:color w:val="000000" w:themeColor="text1"/>
                      <w:spacing w:val="-12"/>
                      <w:sz w:val="21"/>
                      <w:szCs w:val="21"/>
                      <w14:textFill>
                        <w14:solidFill>
                          <w14:schemeClr w14:val="tx1"/>
                        </w14:solidFill>
                      </w14:textFill>
                    </w:rPr>
                    <w:t>划线分隔，厂房封闭，能够防雨、</w:t>
                  </w:r>
                  <w:r>
                    <w:rPr>
                      <w:rFonts w:hint="default" w:ascii="Times New Roman" w:hAnsi="Times New Roman" w:eastAsia="宋体" w:cs="Times New Roman"/>
                      <w:color w:val="000000" w:themeColor="text1"/>
                      <w:spacing w:val="-11"/>
                      <w:sz w:val="21"/>
                      <w:szCs w:val="21"/>
                      <w14:textFill>
                        <w14:solidFill>
                          <w14:schemeClr w14:val="tx1"/>
                        </w14:solidFill>
                      </w14:textFill>
                    </w:rPr>
                    <w:t>防扬尘、防雷。配备灭火器等防火</w:t>
                  </w:r>
                  <w:r>
                    <w:rPr>
                      <w:rFonts w:hint="default" w:ascii="Times New Roman" w:hAnsi="Times New Roman" w:eastAsia="宋体" w:cs="Times New Roman"/>
                      <w:color w:val="000000" w:themeColor="text1"/>
                      <w:spacing w:val="-9"/>
                      <w:sz w:val="21"/>
                      <w:szCs w:val="21"/>
                      <w14:textFill>
                        <w14:solidFill>
                          <w14:schemeClr w14:val="tx1"/>
                        </w14:solidFill>
                      </w14:textFill>
                    </w:rPr>
                    <w:t>装置</w:t>
                  </w:r>
                  <w:r>
                    <w:rPr>
                      <w:rFonts w:hint="eastAsia" w:cs="Times New Roman"/>
                      <w:color w:val="000000" w:themeColor="text1"/>
                      <w:spacing w:val="-9"/>
                      <w:sz w:val="21"/>
                      <w:szCs w:val="21"/>
                      <w:lang w:eastAsia="zh-CN"/>
                      <w14:textFill>
                        <w14:solidFill>
                          <w14:schemeClr w14:val="tx1"/>
                        </w14:solidFill>
                      </w14:textFill>
                    </w:rPr>
                    <w:t>。</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34" w:hRule="atLeast"/>
              </w:trPr>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贮存设施所有者或运营者应建立贮存设施全部档案，包括设计、施工、验收、运行、监测和环境应急等，应按国家有关档案管理的法律法规进行整理和归档。</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2"/>
                      <w:sz w:val="21"/>
                      <w:szCs w:val="21"/>
                      <w:u w:val="single"/>
                      <w:lang w:val="en-US" w:eastAsia="zh-CN"/>
                      <w14:textFill>
                        <w14:solidFill>
                          <w14:schemeClr w14:val="tx1"/>
                        </w14:solidFill>
                      </w14:textFill>
                    </w:rPr>
                  </w:pPr>
                  <w:r>
                    <w:rPr>
                      <w:rFonts w:hint="eastAsia" w:cs="Times New Roman"/>
                      <w:color w:val="000000" w:themeColor="text1"/>
                      <w:spacing w:val="2"/>
                      <w:sz w:val="21"/>
                      <w:szCs w:val="21"/>
                      <w:u w:val="single"/>
                      <w:lang w:val="en-US" w:eastAsia="zh-CN"/>
                      <w14:textFill>
                        <w14:solidFill>
                          <w14:schemeClr w14:val="tx1"/>
                        </w14:solidFill>
                      </w14:textFill>
                    </w:rPr>
                    <w:t>项目所有文件均妥善归档保存。</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污染物排放控制要求</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贮存设施内产生以及清理的固体废物应按固体废物分类管理要求妥善处理</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lang w:val="en-US" w:eastAsia="zh-CN"/>
                      <w14:textFill>
                        <w14:solidFill>
                          <w14:schemeClr w14:val="tx1"/>
                        </w14:solidFill>
                      </w14:textFill>
                    </w:rPr>
                    <w:t>项目固废均</w:t>
                  </w: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按要求妥善处理</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贮存设施产生的废气（含无组织废气）的排放应符合GB16297和GB37822规定的要求。</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cs="Times New Roman"/>
                      <w:color w:val="000000" w:themeColor="text1"/>
                      <w:spacing w:val="10"/>
                      <w:sz w:val="21"/>
                      <w:szCs w:val="21"/>
                      <w:u w:val="single"/>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u w:val="single"/>
                      <w:lang w:val="en-US" w:eastAsia="zh-CN"/>
                      <w14:textFill>
                        <w14:solidFill>
                          <w14:schemeClr w14:val="tx1"/>
                        </w14:solidFill>
                      </w14:textFill>
                    </w:rPr>
                    <w:t>项目</w:t>
                  </w:r>
                  <w:r>
                    <w:rPr>
                      <w:rFonts w:hint="eastAsia" w:cs="Times New Roman"/>
                      <w:color w:val="000000" w:themeColor="text1"/>
                      <w:spacing w:val="10"/>
                      <w:sz w:val="21"/>
                      <w:szCs w:val="21"/>
                      <w:u w:val="single"/>
                      <w:lang w:val="en-US" w:eastAsia="zh-CN"/>
                      <w14:textFill>
                        <w14:solidFill>
                          <w14:schemeClr w14:val="tx1"/>
                        </w14:solidFill>
                      </w14:textFill>
                    </w:rPr>
                    <w:t>废气</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排放</w:t>
                  </w:r>
                  <w:r>
                    <w:rPr>
                      <w:rFonts w:hint="eastAsia" w:cs="Times New Roman"/>
                      <w:color w:val="000000" w:themeColor="text1"/>
                      <w:kern w:val="0"/>
                      <w:sz w:val="21"/>
                      <w:szCs w:val="21"/>
                      <w:u w:val="single"/>
                      <w:lang w:val="en-US" w:eastAsia="zh-CN" w:bidi="ar"/>
                      <w14:textFill>
                        <w14:solidFill>
                          <w14:schemeClr w14:val="tx1"/>
                        </w14:solidFill>
                      </w14:textFill>
                    </w:rPr>
                    <w:t>经治理设施处理后，</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符合GB16297和GB37822规定的要求</w:t>
                  </w:r>
                  <w:r>
                    <w:rPr>
                      <w:rFonts w:hint="eastAsia" w:cs="Times New Roman"/>
                      <w:color w:val="000000" w:themeColor="text1"/>
                      <w:kern w:val="0"/>
                      <w:sz w:val="21"/>
                      <w:szCs w:val="21"/>
                      <w:u w:val="single"/>
                      <w:lang w:val="en-US" w:eastAsia="zh-CN" w:bidi="ar"/>
                      <w14:textFill>
                        <w14:solidFill>
                          <w14:schemeClr w14:val="tx1"/>
                        </w14:solidFill>
                      </w14:textFill>
                    </w:rPr>
                    <w:t>。</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贮存设施产生的废水（包括贮存设施、作业设备、车辆等清洗废水，贮存罐区积存雨水，贮存事故废水等）应进行收集处理，废水排放应符合GB 8978 规定的要求</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u w:val="single"/>
                      <w:lang w:val="en-US" w:eastAsia="zh-CN"/>
                      <w14:textFill>
                        <w14:solidFill>
                          <w14:schemeClr w14:val="tx1"/>
                        </w14:solidFill>
                      </w14:textFill>
                    </w:rPr>
                  </w:pPr>
                  <w:r>
                    <w:rPr>
                      <w:rFonts w:hint="eastAsia" w:cs="Times New Roman"/>
                      <w:color w:val="000000" w:themeColor="text1"/>
                      <w:spacing w:val="0"/>
                      <w:kern w:val="0"/>
                      <w:sz w:val="21"/>
                      <w:szCs w:val="21"/>
                      <w:u w:val="single"/>
                      <w:lang w:val="en-US" w:eastAsia="zh-CN" w:bidi="ar"/>
                      <w14:textFill>
                        <w14:solidFill>
                          <w14:schemeClr w14:val="tx1"/>
                        </w14:solidFill>
                      </w14:textFill>
                    </w:rPr>
                    <w:t>项目</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贮存罐区</w:t>
                  </w:r>
                  <w:r>
                    <w:rPr>
                      <w:rFonts w:hint="eastAsia" w:cs="Times New Roman"/>
                      <w:color w:val="000000" w:themeColor="text1"/>
                      <w:spacing w:val="0"/>
                      <w:kern w:val="0"/>
                      <w:sz w:val="21"/>
                      <w:szCs w:val="21"/>
                      <w:u w:val="single"/>
                      <w:lang w:val="en-US" w:eastAsia="zh-CN" w:bidi="ar"/>
                      <w14:textFill>
                        <w14:solidFill>
                          <w14:schemeClr w14:val="tx1"/>
                        </w14:solidFill>
                      </w14:textFill>
                    </w:rPr>
                    <w:t>设置在室内，正常情况下无废水、废液及初期雨水等，非正常情况下</w:t>
                  </w:r>
                  <w:r>
                    <w:rPr>
                      <w:rFonts w:hint="default" w:ascii="Times New Roman" w:hAnsi="Times New Roman" w:eastAsia="宋体" w:cs="Times New Roman"/>
                      <w:color w:val="000000" w:themeColor="text1"/>
                      <w:spacing w:val="0"/>
                      <w:kern w:val="0"/>
                      <w:sz w:val="21"/>
                      <w:szCs w:val="21"/>
                      <w:u w:val="single"/>
                      <w:lang w:val="en-US" w:eastAsia="zh-CN" w:bidi="ar"/>
                      <w14:textFill>
                        <w14:solidFill>
                          <w14:schemeClr w14:val="tx1"/>
                        </w14:solidFill>
                      </w14:textFill>
                    </w:rPr>
                    <w:t>贮存罐区围堰内收集的废</w:t>
                  </w:r>
                  <w:r>
                    <w:rPr>
                      <w:rFonts w:hint="eastAsia" w:cs="Times New Roman"/>
                      <w:color w:val="000000" w:themeColor="text1"/>
                      <w:spacing w:val="0"/>
                      <w:kern w:val="0"/>
                      <w:sz w:val="21"/>
                      <w:szCs w:val="21"/>
                      <w:u w:val="single"/>
                      <w:lang w:val="en-US" w:eastAsia="zh-CN" w:bidi="ar"/>
                      <w14:textFill>
                        <w14:solidFill>
                          <w14:schemeClr w14:val="tx1"/>
                        </w14:solidFill>
                      </w14:textFill>
                    </w:rPr>
                    <w:t>水进行收集后，委托有资质单位处理。</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环境监测要求</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贮存设施所有者或运营者应依据《大气污染防治法》《水污染防治法》《土壤污染防治法》等有关法律、《排污许可管理条例》等行政法规和HJ819、HJ1250等规定制订监测方案，对贮存设施污染物排放状况开展自行监测，保存原始监测记录，并公布监测结果。</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10"/>
                      <w:sz w:val="21"/>
                      <w:szCs w:val="21"/>
                      <w:lang w:val="en-US" w:eastAsia="zh-CN"/>
                      <w14:textFill>
                        <w14:solidFill>
                          <w14:schemeClr w14:val="tx1"/>
                        </w14:solidFill>
                      </w14:textFill>
                    </w:rPr>
                    <w:t>项目运营后，将</w:t>
                  </w: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按规定制定监测方案，开展自行监测，保存记录，并</w:t>
                  </w:r>
                  <w:r>
                    <w:rPr>
                      <w:rFonts w:hint="eastAsia" w:ascii="Times New Roman" w:hAnsi="Times New Roman" w:eastAsia="宋体" w:cs="Times New Roman"/>
                      <w:color w:val="000000" w:themeColor="text1"/>
                      <w:spacing w:val="10"/>
                      <w:sz w:val="21"/>
                      <w:szCs w:val="21"/>
                      <w:lang w:val="en-US" w:eastAsia="zh-CN"/>
                      <w14:textFill>
                        <w14:solidFill>
                          <w14:schemeClr w14:val="tx1"/>
                        </w14:solidFill>
                      </w14:textFill>
                    </w:rPr>
                    <w:t>及时</w:t>
                  </w:r>
                  <w:r>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t>公布监测结果</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贮存设施无组织气体排放监测因子应根据贮存废物的特性选择具有代表性且能表征危险废物特性的指标；采样点布设、采样及监测方法可按 HJ/T 55 的规定执行，VOCs 的无组织排放监测还应符合GB 37822 的规定。</w:t>
                  </w:r>
                </w:p>
              </w:tc>
              <w:tc>
                <w:tcPr>
                  <w:tcW w:w="197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color w:val="000000" w:themeColor="text1"/>
                      <w:spacing w:val="10"/>
                      <w:sz w:val="21"/>
                      <w:szCs w:val="21"/>
                      <w:u w:val="single"/>
                      <w:lang w:val="en-US" w:eastAsia="zh-CN"/>
                      <w14:textFill>
                        <w14:solidFill>
                          <w14:schemeClr w14:val="tx1"/>
                        </w14:solidFill>
                      </w14:textFill>
                    </w:rPr>
                  </w:pPr>
                  <w:r>
                    <w:rPr>
                      <w:rFonts w:hint="eastAsia" w:cs="Times New Roman"/>
                      <w:color w:val="000000" w:themeColor="text1"/>
                      <w:spacing w:val="10"/>
                      <w:sz w:val="21"/>
                      <w:szCs w:val="21"/>
                      <w:u w:val="single"/>
                      <w:lang w:val="en-US" w:eastAsia="zh-CN"/>
                      <w14:textFill>
                        <w14:solidFill>
                          <w14:schemeClr w14:val="tx1"/>
                        </w14:solidFill>
                      </w14:textFill>
                    </w:rPr>
                    <w:t>项目无组织废气气体排放监测委托有资质单位进行，要求VOCs的无组织排放监测应符合GB37822的规定。</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u w:val="single"/>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4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环境应急要求</w:t>
                  </w:r>
                </w:p>
              </w:tc>
              <w:tc>
                <w:tcPr>
                  <w:tcW w:w="2059"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贮存设施所有者或运营者应配备满足其突发环境事件应急要求的应急人员、装备和物资，并应设置应急照明系统。</w:t>
                  </w:r>
                </w:p>
              </w:tc>
              <w:tc>
                <w:tcPr>
                  <w:tcW w:w="1970" w:type="pc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eastAsia="宋体" w:cs="Times New Roman"/>
                      <w:color w:val="000000" w:themeColor="text1"/>
                      <w:spacing w:val="1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仓库</w:t>
                  </w:r>
                  <w:r>
                    <w:rPr>
                      <w:rFonts w:ascii="Times New Roman" w:hAnsi="Times New Roman"/>
                      <w:color w:val="000000" w:themeColor="text1"/>
                      <w:spacing w:val="0"/>
                      <w:sz w:val="21"/>
                      <w:szCs w:val="21"/>
                      <w14:textFill>
                        <w14:solidFill>
                          <w14:schemeClr w14:val="tx1"/>
                        </w14:solidFill>
                      </w14:textFill>
                    </w:rPr>
                    <w:t>配备</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应急人员、装备和物资，并应设置应急照明系统</w:t>
                  </w:r>
                </w:p>
              </w:tc>
              <w:tc>
                <w:tcPr>
                  <w:tcW w:w="52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综上，项目符合《危险废物贮存污染控制标准》（GB18597-2023）管理要求。</w:t>
            </w:r>
          </w:p>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hint="default" w:ascii="Times New Roman" w:hAnsi="Times New Roman"/>
                <w:b/>
                <w:bCs w:val="0"/>
                <w:color w:val="000000" w:themeColor="text1"/>
                <w:spacing w:val="0"/>
                <w:sz w:val="24"/>
                <w:szCs w:val="20"/>
                <w:lang w:val="en-US" w:eastAsia="zh-CN"/>
                <w14:textFill>
                  <w14:solidFill>
                    <w14:schemeClr w14:val="tx1"/>
                  </w14:solidFill>
                </w14:textFill>
              </w:rPr>
            </w:pPr>
            <w:r>
              <w:rPr>
                <w:rFonts w:hint="eastAsia" w:ascii="Times New Roman" w:hAnsi="Times New Roman"/>
                <w:b/>
                <w:bCs w:val="0"/>
                <w:color w:val="000000" w:themeColor="text1"/>
                <w:spacing w:val="0"/>
                <w:sz w:val="24"/>
                <w:szCs w:val="20"/>
                <w:lang w:val="en-US" w:eastAsia="zh-CN"/>
                <w14:textFill>
                  <w14:solidFill>
                    <w14:schemeClr w14:val="tx1"/>
                  </w14:solidFill>
                </w14:textFill>
              </w:rPr>
              <w:t>1.10与《危险废物污染防治技术政策》（环发[2001]199号）的相符性分析</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根据《危险废物污染防治技术政策》（环发[2001]199号），项目与该规范的相符性分析见下表。</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bCs w:val="0"/>
                <w:color w:val="000000" w:themeColor="text1"/>
                <w:spacing w:val="0"/>
                <w:sz w:val="21"/>
                <w:szCs w:val="16"/>
                <w:lang w:val="en-US" w:eastAsia="zh-CN"/>
                <w14:textFill>
                  <w14:solidFill>
                    <w14:schemeClr w14:val="tx1"/>
                  </w14:solidFill>
                </w14:textFill>
              </w:rPr>
            </w:pPr>
            <w:r>
              <w:rPr>
                <w:rFonts w:hint="eastAsia" w:ascii="Times New Roman" w:hAnsi="Times New Roman"/>
                <w:b/>
                <w:bCs w:val="0"/>
                <w:color w:val="000000" w:themeColor="text1"/>
                <w:spacing w:val="0"/>
                <w:sz w:val="21"/>
                <w:szCs w:val="16"/>
                <w:lang w:val="en-US" w:eastAsia="zh-CN"/>
                <w14:textFill>
                  <w14:solidFill>
                    <w14:schemeClr w14:val="tx1"/>
                  </w14:solidFill>
                </w14:textFill>
              </w:rPr>
              <w:t>表1-9  项目与</w:t>
            </w:r>
            <w:r>
              <w:rPr>
                <w:rFonts w:hint="eastAsia" w:ascii="Times New Roman" w:hAnsi="Times New Roman"/>
                <w:b/>
                <w:bCs w:val="0"/>
                <w:color w:val="000000" w:themeColor="text1"/>
                <w:spacing w:val="0"/>
                <w:sz w:val="24"/>
                <w:szCs w:val="20"/>
                <w:lang w:val="en-US" w:eastAsia="zh-CN"/>
                <w14:textFill>
                  <w14:solidFill>
                    <w14:schemeClr w14:val="tx1"/>
                  </w14:solidFill>
                </w14:textFill>
              </w:rPr>
              <w:t>《危险废物污染防治技术政策》（环发[2001]199号）</w:t>
            </w:r>
            <w:r>
              <w:rPr>
                <w:rFonts w:hint="eastAsia" w:ascii="Times New Roman" w:hAnsi="Times New Roman"/>
                <w:b/>
                <w:bCs w:val="0"/>
                <w:color w:val="000000" w:themeColor="text1"/>
                <w:spacing w:val="0"/>
                <w:sz w:val="21"/>
                <w:szCs w:val="16"/>
                <w:lang w:val="en-US" w:eastAsia="zh-CN"/>
                <w14:textFill>
                  <w14:solidFill>
                    <w14:schemeClr w14:val="tx1"/>
                  </w14:solidFill>
                </w14:textFill>
              </w:rPr>
              <w:t>相符性分析</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5"/>
              <w:gridCol w:w="3472"/>
              <w:gridCol w:w="3265"/>
              <w:gridCol w:w="110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类别</w:t>
                  </w:r>
                </w:p>
              </w:tc>
              <w:tc>
                <w:tcPr>
                  <w:tcW w:w="198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规范要求</w:t>
                  </w:r>
                </w:p>
              </w:tc>
              <w:tc>
                <w:tcPr>
                  <w:tcW w:w="18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本项目</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收集和运输</w:t>
                  </w: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对已经产生的危险废物，建设符合标准的专门设施和场所妥善保存并设立危险废物标示牌，按有关规定自行处理处置或交由持有危险废物经营许可证的单位收集、运输、贮存和处理处置</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本项目暂存库按照《危险废物贮存污染控制标准》（</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GB18597-</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2023</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）要求建设，分区分类妥善保存危险废物并设立危险废物标示牌。交有危险废物经营许可证的单位收集、运输、贮存和处理处置</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危险废物要根据其成分，用符合国家标准的专门容器分类收集</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项目废铅蓄电池使用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HDPE</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塑料薄膜进行整体缠绕包装，使用不易破损、变形，能够有效防止渗漏、扩散并耐酸腐蚀的箱子盛装，废机油采用储罐贮存，其余危险废物使用符合国家标准的内塑外编制袋或其他包装容器，由产废单位按照国家标准要求分类收集</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装运危险废物的容器应根据危险废物</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的不同特性而设计，不易破损、变形、老化，能有效地防止渗漏、扩散。装有危险废物的容器必须贴有标签，在标签上详细标明危险废物的名称、重量、成分、特性以及发生泄漏、扩散污染事故时的应急措施和补救方法</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装运危险废物的容器为特制箱体，</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根据危险废物的不同性质分类存放，容器不易破损、变形、老化，能有效地防止渗漏、扩散。装有危险废物的容器贴有标签，在标签上详细标明危险废物的名称、重量、成分、特性以及发生泄漏、扩散污染事故时的应急措施和补救方法</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鼓励发展安全高效的危险废物运输系统，鼓励发展各种形式的专用车辆，对危险废物的运输要求安全可靠，要严格按照危险废物运输的管理规定进行危险废物的运输，减少运输过程中的二次污染和可能造成的环境风险</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委托有资质的运输单位采用专用的危险废物运输车运输</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准运及贮存</w:t>
                  </w: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危险废物的国内转移应遵从《危险废物转移联单管理办法》及其它有关规定的要求。</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危险废物的转移遵从《危险废物转移联单管理办法》及其它有关规定的要求。</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对已产生的危险废物贮存期限不得超过国家规定。贮存危险废物的单位需拥有相应的许可证。禁止将危险废物以任何形式转移给无许可证的单位，或转移到非危险废物贮存设施中。危险废物贮存设施应有相应的配套设施并按有关规定进行管理。</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建设单位为具有专门危险废物贮存设施的单位，贮存期限不得超过国家规定。项目尚处于环评阶段，未来办理的经营范围按工程设计中要求的类别进行申请。项目贮存的危险废物交有资质单位处置。项目危险废物贮存场所配套设有事故池、硫酸雾吸收装置、有机废气处理装置等。</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危险废物的贮存设施应满足以下要求：①应建有堵截泄漏的裙脚，地面与裙脚要用坚固防渗的材料建造。应有隔离设施、报警装置和防风、防晒、防雨设施；②基础防渗层为粘土层的，其厚度应在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米以上，渗透系数应小于</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1.0</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10</w:t>
                  </w:r>
                  <w:r>
                    <w:rPr>
                      <w:rFonts w:hint="eastAsia"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-7</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厘米秒；基础防渗层也可用厚度在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毫米以上的高密度聚乙烯或其他人工防渗材料组成，渗透系数应小于</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1.0</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10</w:t>
                  </w:r>
                  <w:r>
                    <w:rPr>
                      <w:rFonts w:hint="eastAsia"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-10</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厘米秒；③须有泄漏液体收集装置及气体导出口和气体净化装置；④用于存放液体、半固体危险废物的地方，还须有耐腐蚀的硬化地面，地面无裂隙；⑤不相容的危险废物堆放区必须有隔离间隔断；⑥衬层上需建有渗滤液收集清除系统、径流疏导系统、雨水收集池。⑦贮存易燃易爆的危险废物的场所应配备消防设备，贮存剧毒危险废物的场所必须有专人24小时看管。</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①项目按要求设计堵截泄漏的裙脚，有隔离设施、报警装置和防风、防晒、防雨设施；②防渗层为粘土层的，其厚度应在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米以上，渗透系数≤</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10</w:t>
                  </w:r>
                  <w:r>
                    <w:rPr>
                      <w:rFonts w:hint="eastAsia"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cm/s</w:t>
                  </w:r>
                  <w:r>
                    <w:rPr>
                      <w:rFonts w:hint="eastAsia" w:ascii="Times New Roman" w:hAnsi="Times New Roman" w:eastAsia="宋体" w:cs="Times New Roman"/>
                      <w:color w:val="000000" w:themeColor="text1"/>
                      <w:spacing w:val="0"/>
                      <w:kern w:val="0"/>
                      <w:sz w:val="21"/>
                      <w:szCs w:val="21"/>
                      <w:vertAlign w:val="baseline"/>
                      <w:lang w:val="en-US" w:eastAsia="zh-CN" w:bidi="ar"/>
                      <w14:textFill>
                        <w14:solidFill>
                          <w14:schemeClr w14:val="tx1"/>
                        </w14:solidFill>
                      </w14:textFill>
                    </w:rPr>
                    <w:t>或</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厚度在</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毫米以上的高密度聚乙烯或其他人工防渗材料组成，地面和墙壁厚度均为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3mm</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墙壁防腐防渗衬层高度约为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50cm</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，渗透系数≤</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10</w:t>
                  </w:r>
                  <w:r>
                    <w:rPr>
                      <w:rFonts w:hint="eastAsia" w:ascii="Times New Roman" w:hAnsi="Times New Roman" w:eastAsia="宋体" w:cs="Times New Roman"/>
                      <w:color w:val="000000" w:themeColor="text1"/>
                      <w:spacing w:val="0"/>
                      <w:kern w:val="0"/>
                      <w:sz w:val="21"/>
                      <w:szCs w:val="21"/>
                      <w:vertAlign w:val="superscript"/>
                      <w:lang w:val="en-US" w:eastAsia="zh-CN" w:bidi="ar"/>
                      <w14:textFill>
                        <w14:solidFill>
                          <w14:schemeClr w14:val="tx1"/>
                        </w14:solidFill>
                      </w14:textFill>
                    </w:rPr>
                    <w:t>-10</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cm/s</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③有事故池、微负压排气系统和硫酸雾吸收装置及有机废气处理装置④项目贮存场所地面均做防腐防渗处理，无裂隙；⑤不涉及不相容的危险废物；⑥衬层上建有渗滤液收集清除系统、径流疏导系统，本项目为室内储存，仓库具备防雨功能；⑦本项目贮存场所配备灭火器。</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特殊危险废物的污染防治</w:t>
                  </w: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废铅酸电池必须进行回收利用，不得用其它办法进行处置，其收集、运输环节必须纳入危险废物管理。</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本项目暂存废铅酸电池，其收集、运输环节纳入危险废物管理。</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12" w:type="pct"/>
                  <w:vMerge w:val="continue"/>
                  <w:tcBorders>
                    <w:tl2br w:val="nil"/>
                    <w:tr2bl w:val="nil"/>
                  </w:tcBorders>
                  <w:noWrap w:val="0"/>
                  <w:vAlign w:val="top"/>
                </w:tcPr>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1986"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鼓励建立废矿物油收集体系，禁止将废矿物油任意抛洒、掩埋或倒入下水道以及用作建筑脱模油。</w:t>
                  </w:r>
                </w:p>
              </w:tc>
              <w:tc>
                <w:tcPr>
                  <w:tcW w:w="1868"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本项目暂存废矿物油，属于鼓励内容。</w:t>
                  </w:r>
                </w:p>
              </w:tc>
              <w:tc>
                <w:tcPr>
                  <w:tcW w:w="63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综上，项目符合《危险废物污染防治技术政策》（环发[2001]199号）管理要求。</w:t>
            </w:r>
          </w:p>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hint="eastAsia" w:ascii="Times New Roman" w:hAnsi="Times New Roman"/>
                <w:b/>
                <w:bCs w:val="0"/>
                <w:color w:val="000000" w:themeColor="text1"/>
                <w:spacing w:val="0"/>
                <w:sz w:val="24"/>
                <w:szCs w:val="20"/>
                <w:lang w:val="en-US" w:eastAsia="zh-CN"/>
                <w14:textFill>
                  <w14:solidFill>
                    <w14:schemeClr w14:val="tx1"/>
                  </w14:solidFill>
                </w14:textFill>
              </w:rPr>
            </w:pPr>
            <w:r>
              <w:rPr>
                <w:rFonts w:hint="eastAsia" w:ascii="Times New Roman" w:hAnsi="Times New Roman"/>
                <w:b/>
                <w:bCs w:val="0"/>
                <w:color w:val="000000" w:themeColor="text1"/>
                <w:spacing w:val="0"/>
                <w:sz w:val="24"/>
                <w:szCs w:val="20"/>
                <w:lang w:val="en-US" w:eastAsia="zh-CN"/>
                <w14:textFill>
                  <w14:solidFill>
                    <w14:schemeClr w14:val="tx1"/>
                  </w14:solidFill>
                </w14:textFill>
              </w:rPr>
              <w:t>1.11与《废铅蓄电池处理污染控制技术规范》（HJ519-2020）的相符性分析</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根据《废铅蓄电池处理污染控制技术规范》（HJ519-2020），项目与该规范的相符性分析见下表。</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bCs w:val="0"/>
                <w:color w:val="000000" w:themeColor="text1"/>
                <w:spacing w:val="0"/>
                <w:sz w:val="21"/>
                <w:szCs w:val="16"/>
                <w:lang w:val="en-US" w:eastAsia="zh-CN"/>
                <w14:textFill>
                  <w14:solidFill>
                    <w14:schemeClr w14:val="tx1"/>
                  </w14:solidFill>
                </w14:textFill>
              </w:rPr>
            </w:pPr>
            <w:r>
              <w:rPr>
                <w:rFonts w:hint="eastAsia" w:ascii="Times New Roman" w:hAnsi="Times New Roman"/>
                <w:b/>
                <w:bCs w:val="0"/>
                <w:color w:val="000000" w:themeColor="text1"/>
                <w:spacing w:val="0"/>
                <w:sz w:val="21"/>
                <w:szCs w:val="16"/>
                <w:lang w:val="en-US" w:eastAsia="zh-CN"/>
                <w14:textFill>
                  <w14:solidFill>
                    <w14:schemeClr w14:val="tx1"/>
                  </w14:solidFill>
                </w14:textFill>
              </w:rPr>
              <w:t>表1-10  项目与《废铅蓄电池处理污染控制技术规范》（HJ519-2020）相符性分析</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0"/>
              <w:gridCol w:w="3507"/>
              <w:gridCol w:w="3319"/>
              <w:gridCol w:w="104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类别</w:t>
                  </w:r>
                </w:p>
              </w:tc>
              <w:tc>
                <w:tcPr>
                  <w:tcW w:w="200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规范要求</w:t>
                  </w:r>
                </w:p>
              </w:tc>
              <w:tc>
                <w:tcPr>
                  <w:tcW w:w="189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本项目</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总体要求</w:t>
                  </w: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1、从事废铅蓄电池收集、贮存的企业，</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应依法获得危险废物经营许可证；禁止无经营许可证或者不按照经营许可证规定从事废铅蓄电池收集、贮存经营活动。</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目前处于环评阶段，</w:t>
                  </w:r>
                  <w:r>
                    <w:rPr>
                      <w:rFonts w:hint="eastAsia"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后续</w:t>
                  </w: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将严格按照</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相关规定及要求办理危险废物经营许可证后</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开展生产经营活动。</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收集、运输、贮存废铅蓄电池的容器或托盘，应根据废铅蓄电池的特性设计，不易破损、变形，其所用材料能有效地防止渗漏、扩散，并耐酸腐蚀。装有废铅蓄电池的容器或托盘必须粘贴符合GB18597要求的危险废物标签</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项目收集、运输、贮存废铅蓄电池的采用托盘进行，本项目废铅蓄电池采用专业的车辆运输至贮存仓库；贮存容器能有效防止渗漏、扩散，且耐酸腐蚀；装有废铅蓄电池的容器将严格按照要求粘贴危险废物标签。</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3、废铅蓄电池收集、贮存企业应建立废铅蓄电池收集处理数据信息管理系统，如实记录收集、贮存、转移废铅蓄电池的重量、来源、去向等信息，并实现与全国固体废物管理信息系统的数据对接。</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本项目将积极建立废铅蓄电池收集处理数据信息管理系统，如实记录收集、贮存、转移废铅蓄电池的重量、来源、去向等信息，并实现与全国固体废物管理信息系统的数据对接</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t>4、</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禁止在收集、运输和贮存过程中擅自拆解、破碎、丢弃废铅蓄电池禁止倾倒含铅酸性电解质。</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本项目不涉及废旧铅蓄电池的拆解、破碎等加工，在收集、运输和贮存过程中将严禁乱丢电池、倾倒含铅酸性电解质。</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5、废铅蓄电池收集、运输、贮存过程除应满足环境保护相关要求外，还应符合国家安全生产、职业健康交通运输、消防等法规标准的相关要求。</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项目将严格按照相关法规及标准的要求，使之满足国家安全生产、职业健康、交通运输、消防等相关的要求。</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6、废铅蓄电池收集企业和运输企业应组织收集人员、运输车辆驾驶员等相关人员参加危险废物环境管理和环境事故应急救援方面的培训。</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本项目属废铅蓄电池收集企业，后续将积极组织人员开展危险废物环境管理和环境事故应急救援方面的培训。</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收集</w:t>
                  </w: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1、收集企业可在收集区域内设置废铅蓄电池收集网点，建设废铅蓄电池集中转运点，以利于中转。</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本项目为废铅蓄电池的集中转运点</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2、废铅蓄电池收集过程应采取以下防范措施，避免发生环境污染事故：</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废铅蓄电池应进行合理包装，防止运输过程破损和电解质泄漏；</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废铅蓄电池有破损或电解质渗漏的，应将废铅蓄电池及其渗漏液贮存于耐酸容器中。</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项目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废铅蓄电池在收集过程中对电池进行合理的包装，对于破损的电池或者电解质渗漏的，收集存放至耐酸容器中</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暂存与贮存</w:t>
                  </w: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1、基于废铅蓄电池收集过程的特殊性及其环境风险，分为收集网点暂存和集中转运点贮存两种方式。</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项目</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属于集中转运点贮存的方式</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2、收集网点暂存时间应不超过90天，重量应不超过3吨；集中转运点贮存时间最长不超过1年，贮存规模应小于贮存场所的设计容量。</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本项目属集中转运点，贮存废旧铅蓄电池的时间一般为6d，贮存的规模小于贮存场所的设计容量。</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3、废铅蓄电池集中转运点贮存设施应开展环境影响评价，并参照GB18597的有关要求进行建设和管理。</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本项目正在开展环境影响评价工作，严格按照GB18597的有关要求进行建设和管理。</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9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p>
              </w:tc>
              <w:tc>
                <w:tcPr>
                  <w:tcW w:w="2007"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4、禁止将废铅蓄电池堆放在露天场所，避免废铅蓄电池遭受雨淋水浸。</w:t>
                  </w:r>
                </w:p>
              </w:tc>
              <w:tc>
                <w:tcPr>
                  <w:tcW w:w="1899"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本项目收集到的废铅蓄电池存放在专用的贮存仓库内，不会出现露天堆放、使废铅蓄电池遭受雨淋水浸的情形。</w:t>
                  </w:r>
                </w:p>
              </w:tc>
              <w:tc>
                <w:tcPr>
                  <w:tcW w:w="6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综上，项目符合《废铅蓄电池处理污染控制技术规范》（HJ519-2020）管理要求。</w:t>
            </w:r>
          </w:p>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hint="default" w:ascii="Times New Roman" w:hAnsi="Times New Roman"/>
                <w:b/>
                <w:bCs w:val="0"/>
                <w:color w:val="000000" w:themeColor="text1"/>
                <w:spacing w:val="0"/>
                <w:sz w:val="24"/>
                <w:szCs w:val="20"/>
                <w:lang w:val="en-US" w:eastAsia="zh-CN"/>
                <w14:textFill>
                  <w14:solidFill>
                    <w14:schemeClr w14:val="tx1"/>
                  </w14:solidFill>
                </w14:textFill>
              </w:rPr>
            </w:pPr>
            <w:r>
              <w:rPr>
                <w:rFonts w:hint="eastAsia" w:ascii="Times New Roman" w:hAnsi="Times New Roman"/>
                <w:b/>
                <w:bCs w:val="0"/>
                <w:color w:val="000000" w:themeColor="text1"/>
                <w:spacing w:val="0"/>
                <w:sz w:val="24"/>
                <w:szCs w:val="20"/>
                <w:lang w:val="en-US" w:eastAsia="zh-CN"/>
                <w14:textFill>
                  <w14:solidFill>
                    <w14:schemeClr w14:val="tx1"/>
                  </w14:solidFill>
                </w14:textFill>
              </w:rPr>
              <w:t>1.12与《河南省废铅蓄电池收集处理制度试点方案》（豫环文[2018]284号）的相符性分析</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根据《河南省废铅蓄电池收集处理制度试点方案》（豫环文[2018]284号），项目与该规范的相符性分析见下表。</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bCs w:val="0"/>
                <w:color w:val="000000" w:themeColor="text1"/>
                <w:spacing w:val="0"/>
                <w:sz w:val="21"/>
                <w:szCs w:val="16"/>
                <w:lang w:val="en-US" w:eastAsia="zh-CN"/>
                <w14:textFill>
                  <w14:solidFill>
                    <w14:schemeClr w14:val="tx1"/>
                  </w14:solidFill>
                </w14:textFill>
              </w:rPr>
            </w:pPr>
            <w:r>
              <w:rPr>
                <w:rFonts w:hint="eastAsia" w:ascii="Times New Roman" w:hAnsi="Times New Roman"/>
                <w:b/>
                <w:bCs w:val="0"/>
                <w:color w:val="000000" w:themeColor="text1"/>
                <w:spacing w:val="0"/>
                <w:sz w:val="21"/>
                <w:szCs w:val="16"/>
                <w:lang w:val="en-US" w:eastAsia="zh-CN"/>
                <w14:textFill>
                  <w14:solidFill>
                    <w14:schemeClr w14:val="tx1"/>
                  </w14:solidFill>
                </w14:textFill>
              </w:rPr>
              <w:t>表1-11  项目与《河南省废铅蓄电池收集处理制度试点方案》（豫环文[2018]284号</w:t>
            </w:r>
            <w:r>
              <w:rPr>
                <w:rFonts w:hint="eastAsia" w:ascii="Times New Roman" w:hAnsi="Times New Roman"/>
                <w:b w:val="0"/>
                <w:bCs/>
                <w:color w:val="000000" w:themeColor="text1"/>
                <w:spacing w:val="0"/>
                <w:sz w:val="21"/>
                <w:szCs w:val="16"/>
                <w:lang w:val="en-US" w:eastAsia="zh-CN"/>
                <w14:textFill>
                  <w14:solidFill>
                    <w14:schemeClr w14:val="tx1"/>
                  </w14:solidFill>
                </w14:textFill>
              </w:rPr>
              <w:t>）</w:t>
            </w:r>
            <w:r>
              <w:rPr>
                <w:rFonts w:hint="eastAsia" w:ascii="Times New Roman" w:hAnsi="Times New Roman"/>
                <w:b/>
                <w:bCs w:val="0"/>
                <w:color w:val="000000" w:themeColor="text1"/>
                <w:spacing w:val="0"/>
                <w:sz w:val="21"/>
                <w:szCs w:val="16"/>
                <w:lang w:val="en-US" w:eastAsia="zh-CN"/>
                <w14:textFill>
                  <w14:solidFill>
                    <w14:schemeClr w14:val="tx1"/>
                  </w14:solidFill>
                </w14:textFill>
              </w:rPr>
              <w:t>相符性分析</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4093"/>
              <w:gridCol w:w="2822"/>
              <w:gridCol w:w="90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jc w:val="center"/>
              </w:trPr>
              <w:tc>
                <w:tcPr>
                  <w:tcW w:w="52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类别</w:t>
                  </w:r>
                </w:p>
              </w:tc>
              <w:tc>
                <w:tcPr>
                  <w:tcW w:w="234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规范要求</w:t>
                  </w:r>
                </w:p>
              </w:tc>
              <w:tc>
                <w:tcPr>
                  <w:tcW w:w="161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本项目</w:t>
                  </w:r>
                </w:p>
              </w:tc>
              <w:tc>
                <w:tcPr>
                  <w:tcW w:w="51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一般原则</w:t>
                  </w:r>
                </w:p>
              </w:tc>
              <w:tc>
                <w:tcPr>
                  <w:tcW w:w="2342"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推动落实生产者责任延伸制度，由铅蓄电池生产企业依托自有销售渠道建立废铅蓄电池逆向物流回收体系，持危险废物经营许可证的再生铅企业可通过自主回收、联合回收或委托回收等方式建立回收体系。</w:t>
                  </w:r>
                </w:p>
              </w:tc>
              <w:tc>
                <w:tcPr>
                  <w:tcW w:w="1615"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项目尚处在环评阶段，暂未办理危险废物经营许可证</w:t>
                  </w:r>
                </w:p>
              </w:tc>
              <w:tc>
                <w:tcPr>
                  <w:tcW w:w="51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342"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各回收体系收集的废铅蓄电池最终须交由具有危险废物经营许可证的再生铅企业利用处置</w:t>
                  </w:r>
                </w:p>
              </w:tc>
              <w:tc>
                <w:tcPr>
                  <w:tcW w:w="1615"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项目回收的铅蓄电池交由具有危险废物经营许可证的再生铅企业利用处置</w:t>
                  </w:r>
                </w:p>
              </w:tc>
              <w:tc>
                <w:tcPr>
                  <w:tcW w:w="51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342"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在试点市范围内，废铅蓄电池在收集网点</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和经销商仓库之间转移，可使用铅蓄电池货物运输车辆转运。</w:t>
                  </w:r>
                </w:p>
              </w:tc>
              <w:tc>
                <w:tcPr>
                  <w:tcW w:w="1615"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本项目向各收集点收集</w:t>
                  </w: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过程中，使用铅蓄电池货物运输车辆转运。</w:t>
                  </w:r>
                </w:p>
              </w:tc>
              <w:tc>
                <w:tcPr>
                  <w:tcW w:w="51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342"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废铅蓄电池自经销商转运至持危险废物许可证的再生铅企业、工业企业产生的废铅蓄电池集中转运的，按照危险废物进行管理，运行危险废物转移联单，遵守危险货物运输管理有关规定。跨省转移废铅蓄电池的，应当经移出地和移入地省级环保部门批准。</w:t>
                  </w:r>
                </w:p>
              </w:tc>
              <w:tc>
                <w:tcPr>
                  <w:tcW w:w="1615"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项目废铅蓄电池交由具有危险废物经营许可证的再生铅企业利用处置，运输由有危险废物运输资质的单位进行，填报危险废物转移联单，建立收集、贮存、转移台账，相关材料定期报备生态环境主管部门，不违规转移。</w:t>
                  </w:r>
                </w:p>
              </w:tc>
              <w:tc>
                <w:tcPr>
                  <w:tcW w:w="51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342"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建立废铅蓄电池溯源管理平台，探索废铅蓄电池全过程溯源管理模式，实行废铅蓄电池全过程线上信息跟踪。铅蓄电池生产企业、经销商、销售网点、再生铅企业及其回收体系、运输企业等参与废铅蓄电池回收的各责任主体，要在溯源管理平台注册登记。参与废铅蓄电池回收的各责任主体收到废铅蓄电池后及时粘贴二维码、扫码录入信息，实现废铅蓄电池自产生至再生铅企业来源可查、去向可追、全程可控的目标。</w:t>
                  </w:r>
                </w:p>
              </w:tc>
              <w:tc>
                <w:tcPr>
                  <w:tcW w:w="1615"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环评要求项目建设完成后，企业应在废铅蓄电池溯源管理平台进行登记，且收到废铅蓄电池后及时粘贴二维码、扫码录入信息。</w:t>
                  </w:r>
                </w:p>
              </w:tc>
              <w:tc>
                <w:tcPr>
                  <w:tcW w:w="51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522"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p>
              </w:tc>
              <w:tc>
                <w:tcPr>
                  <w:tcW w:w="2342"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环保、公安、交通、工商部门发挥各自职能，将废铅蓄电池收集处理行业持续纳入打击环境违法行为专项行动，开展专项整治和联合执法行动，查处违法排污、非法生产电池、废铅蓄电池违规回收、非法集散、非法拆解冶炼、非法倾倒等违法犯罪行为。</w:t>
                  </w:r>
                </w:p>
              </w:tc>
              <w:tc>
                <w:tcPr>
                  <w:tcW w:w="1615" w:type="pc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pacing w:val="0"/>
                      <w:kern w:val="0"/>
                      <w:sz w:val="21"/>
                      <w:szCs w:val="21"/>
                      <w:lang w:val="en-US" w:eastAsia="zh-CN" w:bidi="ar"/>
                      <w14:textFill>
                        <w14:solidFill>
                          <w14:schemeClr w14:val="tx1"/>
                        </w14:solidFill>
                      </w14:textFill>
                    </w:rPr>
                    <w:t>环评要求企业严格遵守《河南省废铅蓄电池收集处理制度试点方案》、《河南省废铅蓄电池规范化管理指南》等相关法律法规的要求，严禁违法排污、非法生产电池、废铅蓄电池违规回收、非法集散、非法拆解冶炼、非法倾倒等违法犯罪行为。</w:t>
                  </w:r>
                </w:p>
              </w:tc>
              <w:tc>
                <w:tcPr>
                  <w:tcW w:w="51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1"/>
                      <w:szCs w:val="21"/>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综上，项目符合《河南省废铅蓄电池收集处理制度试点方案》（豫环文[2018]284号）管理要求。</w:t>
            </w:r>
          </w:p>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hint="default" w:ascii="Times New Roman" w:hAnsi="Times New Roman"/>
                <w:b w:val="0"/>
                <w:bCs/>
                <w:color w:val="000000" w:themeColor="text1"/>
                <w:spacing w:val="0"/>
                <w:sz w:val="24"/>
                <w:szCs w:val="20"/>
                <w:lang w:val="en-US" w:eastAsia="zh-CN"/>
                <w14:textFill>
                  <w14:solidFill>
                    <w14:schemeClr w14:val="tx1"/>
                  </w14:solidFill>
                </w14:textFill>
              </w:rPr>
            </w:pPr>
            <w:r>
              <w:rPr>
                <w:rFonts w:hint="eastAsia" w:ascii="Times New Roman" w:hAnsi="Times New Roman"/>
                <w:b/>
                <w:bCs w:val="0"/>
                <w:color w:val="000000" w:themeColor="text1"/>
                <w:spacing w:val="0"/>
                <w:sz w:val="24"/>
                <w:szCs w:val="20"/>
                <w:lang w:val="en-US" w:eastAsia="zh-CN"/>
                <w14:textFill>
                  <w14:solidFill>
                    <w14:schemeClr w14:val="tx1"/>
                  </w14:solidFill>
                </w14:textFill>
              </w:rPr>
              <w:t>1.13</w:t>
            </w:r>
            <w:r>
              <w:rPr>
                <w:rFonts w:hint="eastAsia"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与《废矿物油回收利用污染控制技术规范》（HJ607-2011）相符性分析</w:t>
            </w:r>
          </w:p>
          <w:p>
            <w:pPr>
              <w:keepLines w:val="0"/>
              <w:pageBreakBefore w:val="0"/>
              <w:kinsoku/>
              <w:wordWrap w:val="0"/>
              <w:topLinePunct w:val="0"/>
              <w:bidi w:val="0"/>
              <w:adjustRightInd w:val="0"/>
              <w:snapToGrid w:val="0"/>
              <w:spacing w:line="360" w:lineRule="auto"/>
              <w:ind w:firstLine="480" w:firstLineChars="200"/>
              <w:rPr>
                <w:rFonts w:hint="eastAsia" w:ascii="Times New Roman" w:hAnsi="Times New Roman" w:eastAsia="宋体" w:cs="Times New Roman"/>
                <w:color w:val="000000" w:themeColor="text1"/>
                <w:spacing w:val="0"/>
                <w:kern w:val="0"/>
                <w:sz w:val="24"/>
                <w:szCs w:val="24"/>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sz w:val="24"/>
                <w:szCs w:val="24"/>
                <w:lang w:val="en-US" w:eastAsia="zh-CN"/>
                <w14:textFill>
                  <w14:solidFill>
                    <w14:schemeClr w14:val="tx1"/>
                  </w14:solidFill>
                </w14:textFill>
              </w:rPr>
              <w:t>本项目与《废矿物油回收利用污染控制技术规范》（HJ607-2011）相符性分析见下表。</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bCs w:val="0"/>
                <w:color w:val="000000" w:themeColor="text1"/>
                <w:spacing w:val="0"/>
                <w:sz w:val="21"/>
                <w:szCs w:val="16"/>
                <w:lang w:val="en-US" w:eastAsia="zh-CN"/>
                <w14:textFill>
                  <w14:solidFill>
                    <w14:schemeClr w14:val="tx1"/>
                  </w14:solidFill>
                </w14:textFill>
              </w:rPr>
            </w:pPr>
            <w:r>
              <w:rPr>
                <w:rFonts w:hint="eastAsia" w:ascii="Times New Roman" w:hAnsi="Times New Roman"/>
                <w:b/>
                <w:bCs w:val="0"/>
                <w:color w:val="000000" w:themeColor="text1"/>
                <w:spacing w:val="0"/>
                <w:sz w:val="21"/>
                <w:szCs w:val="16"/>
                <w:lang w:val="en-US" w:eastAsia="zh-CN"/>
                <w14:textFill>
                  <w14:solidFill>
                    <w14:schemeClr w14:val="tx1"/>
                  </w14:solidFill>
                </w14:textFill>
              </w:rPr>
              <w:t>表1-12  项目与《废矿物油回收利用污染控制技术规范》（HJ607-2011）相符性分析</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41"/>
              <w:gridCol w:w="3525"/>
              <w:gridCol w:w="3408"/>
              <w:gridCol w:w="96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类别</w:t>
                  </w:r>
                </w:p>
              </w:tc>
              <w:tc>
                <w:tcPr>
                  <w:tcW w:w="201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规范要求</w:t>
                  </w:r>
                </w:p>
              </w:tc>
              <w:tc>
                <w:tcPr>
                  <w:tcW w:w="19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本项目</w:t>
                  </w:r>
                </w:p>
              </w:tc>
              <w:tc>
                <w:tcPr>
                  <w:tcW w:w="5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总体要求</w:t>
                  </w:r>
                </w:p>
              </w:tc>
              <w:tc>
                <w:tcPr>
                  <w:tcW w:w="2017" w:type="pct"/>
                  <w:tcBorders>
                    <w:tl2br w:val="nil"/>
                    <w:tr2bl w:val="nil"/>
                  </w:tcBorders>
                  <w:noWrap w:val="0"/>
                  <w:vAlign w:val="center"/>
                </w:tcPr>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1、废矿物油焚烧、贮存和填埋厂址选择应符合GB18484、GB18597、GB18598中的有关规定，并符合当地的大气污染防治、水资源保护和自然生态保护要求。</w:t>
                  </w:r>
                </w:p>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2、废矿物油产生单位和废矿物油经营单位应按《危险废物污染防治技术政策》中的有关规定从事相关的生产、经营活动。</w:t>
                  </w:r>
                </w:p>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3、废矿物油产生单位和废矿物油经营单位应采取防扬散、防流失、防渗漏及其他防止污染环境的措施。</w:t>
                  </w:r>
                </w:p>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4、废矿物油应按照来源、特性进行分类收集、贮存、利用和处置。</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b w:val="0"/>
                      <w:bCs/>
                      <w:color w:val="000000" w:themeColor="text1"/>
                      <w:spacing w:val="0"/>
                      <w:sz w:val="24"/>
                      <w:szCs w:val="20"/>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5、含多氯联苯废矿物油属于多氯（溴）联苯类废物，其收集、贮存、运输、利用和处置应按GB13015和相关规定执行</w:t>
                  </w:r>
                  <w:r>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t>。</w:t>
                  </w:r>
                </w:p>
              </w:tc>
              <w:tc>
                <w:tcPr>
                  <w:tcW w:w="1950" w:type="pct"/>
                  <w:tcBorders>
                    <w:tl2br w:val="nil"/>
                    <w:tr2bl w:val="nil"/>
                  </w:tcBorders>
                  <w:noWrap w:val="0"/>
                  <w:vAlign w:val="center"/>
                </w:tcPr>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1、</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项目</w:t>
                  </w: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厂址选择符合《危险废物贮存污染控制标准》（GB18597-20</w:t>
                  </w:r>
                  <w:r>
                    <w:rPr>
                      <w:rFonts w:hint="eastAsia" w:ascii="Times New Roman" w:hAnsi="Times New Roman" w:eastAsia="宋体" w:cs="Times New Roman"/>
                      <w:b w:val="0"/>
                      <w:bCs w:val="0"/>
                      <w:snapToGrid w:val="0"/>
                      <w:color w:val="000000" w:themeColor="text1"/>
                      <w:spacing w:val="0"/>
                      <w:sz w:val="21"/>
                      <w:szCs w:val="21"/>
                      <w:u w:val="none"/>
                      <w:lang w:val="en-US" w:eastAsia="zh-CN"/>
                      <w14:textFill>
                        <w14:solidFill>
                          <w14:schemeClr w14:val="tx1"/>
                        </w14:solidFill>
                      </w14:textFill>
                    </w:rPr>
                    <w:t>23</w:t>
                  </w: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）中的有关规定，并符合当地的大气污染防治、水资源保护和自然生态保护要求。</w:t>
                  </w:r>
                </w:p>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2、</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企业将严格按照</w:t>
                  </w: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《危险废物污染防治技术政策》中的有关规定从事相关的生产、经营活动。</w:t>
                  </w:r>
                </w:p>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3、</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项目废矿物油储存仓库为钢结构密闭厂房，储存区按要求采取防渗措施和事故废油收集措施，可以有效</w:t>
                  </w: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防扬散、防流失、防渗漏。</w:t>
                  </w:r>
                </w:p>
                <w:p>
                  <w:pPr>
                    <w:keepLines w:val="0"/>
                    <w:pageBreakBefore w:val="0"/>
                    <w:kinsoku/>
                    <w:wordWrap w:val="0"/>
                    <w:topLinePunct w:val="0"/>
                    <w:autoSpaceDE w:val="0"/>
                    <w:autoSpaceDN w:val="0"/>
                    <w:bidi w:val="0"/>
                    <w:adjustRightInd w:val="0"/>
                    <w:snapToGrid w:val="0"/>
                    <w:spacing w:line="240" w:lineRule="auto"/>
                    <w:jc w:val="both"/>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4、</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本项目</w:t>
                  </w: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废矿物油应按照来源、特性进行分类收集、贮存。</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5、</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本项目不涉及</w:t>
                  </w:r>
                  <w:r>
                    <w:rPr>
                      <w:rFonts w:hint="default"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含多氯联苯废矿物油</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收集</w:t>
                  </w:r>
                  <w:r>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t>。</w:t>
                  </w:r>
                </w:p>
              </w:tc>
              <w:tc>
                <w:tcPr>
                  <w:tcW w:w="5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收集污染控制技术要求</w:t>
                  </w:r>
                </w:p>
              </w:tc>
              <w:tc>
                <w:tcPr>
                  <w:tcW w:w="2017" w:type="pct"/>
                  <w:tcBorders>
                    <w:tl2br w:val="nil"/>
                    <w:tr2bl w:val="nil"/>
                  </w:tcBorders>
                  <w:noWrap w:val="0"/>
                  <w:vAlign w:val="center"/>
                </w:tcPr>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1、废矿物油收集容器应完好无损，没有腐蚀、污染、损毁或其他能导致其使用效能减弱的缺陷。</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2、废矿物油收集过程产生的废旧容器应按照危险废物进行处置，仍可转作他用的，应经过消除污染的处理。</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3、废矿物油应在产生源收集，不宜在产生源收集的应设置专用设施集中收集。</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4、废矿物油收集过程产生的含油棉、含油毡等含废矿物油废物应一并收集</w:t>
                  </w:r>
                  <w:r>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t>。</w:t>
                  </w:r>
                </w:p>
              </w:tc>
              <w:tc>
                <w:tcPr>
                  <w:tcW w:w="1950" w:type="pct"/>
                  <w:tcBorders>
                    <w:tl2br w:val="nil"/>
                    <w:tr2bl w:val="nil"/>
                  </w:tcBorders>
                  <w:noWrap w:val="0"/>
                  <w:vAlign w:val="center"/>
                </w:tcPr>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1、项目采用专用容器进行废矿物油收集，确保没有腐蚀、污染、损毁或其他能导致其使用效能减弱的缺陷。</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2、废矿物油收集过程产生</w:t>
                  </w:r>
                  <w:r>
                    <w:rPr>
                      <w:rFonts w:hint="eastAsia" w:ascii="Times New Roman" w:hAnsi="Times New Roman" w:eastAsia="宋体" w:cs="Times New Roman"/>
                      <w:b w:val="0"/>
                      <w:bCs w:val="0"/>
                      <w:snapToGrid w:val="0"/>
                      <w:color w:val="000000" w:themeColor="text1"/>
                      <w:spacing w:val="0"/>
                      <w:sz w:val="21"/>
                      <w:szCs w:val="21"/>
                      <w:u w:val="none"/>
                      <w:lang w:val="en-US" w:eastAsia="zh-CN"/>
                      <w14:textFill>
                        <w14:solidFill>
                          <w14:schemeClr w14:val="tx1"/>
                        </w14:solidFill>
                      </w14:textFill>
                    </w:rPr>
                    <w:t>的</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废油桶按照危险废物进行处置。</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3、本项目回收的废矿物油，全部</w:t>
                  </w:r>
                  <w:r>
                    <w:rPr>
                      <w:rFonts w:hint="eastAsia" w:ascii="Times New Roman" w:hAnsi="Times New Roman" w:eastAsia="宋体" w:cs="Times New Roman"/>
                      <w:b w:val="0"/>
                      <w:bCs w:val="0"/>
                      <w:snapToGrid w:val="0"/>
                      <w:color w:val="000000" w:themeColor="text1"/>
                      <w:spacing w:val="0"/>
                      <w:sz w:val="21"/>
                      <w:szCs w:val="21"/>
                      <w:u w:val="none"/>
                      <w:lang w:val="en-US" w:eastAsia="zh-CN"/>
                      <w14:textFill>
                        <w14:solidFill>
                          <w14:schemeClr w14:val="tx1"/>
                        </w14:solidFill>
                      </w14:textFill>
                    </w:rPr>
                    <w:t>由</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各企业在产生源收集</w:t>
                  </w:r>
                  <w:r>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4、废矿物油收集过程产生的含油棉、含油毡等含废矿物油废物由供应方自行委托有相应危废处理资质的单位进行处理</w:t>
                  </w:r>
                  <w:r>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t>。</w:t>
                  </w:r>
                </w:p>
              </w:tc>
              <w:tc>
                <w:tcPr>
                  <w:tcW w:w="5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贮存污染控制技术要求</w:t>
                  </w:r>
                </w:p>
              </w:tc>
              <w:tc>
                <w:tcPr>
                  <w:tcW w:w="2017" w:type="pct"/>
                  <w:tcBorders>
                    <w:tl2br w:val="nil"/>
                    <w:tr2bl w:val="nil"/>
                  </w:tcBorders>
                  <w:noWrap w:val="0"/>
                  <w:vAlign w:val="center"/>
                </w:tcPr>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1、废矿物油贮存污染控制应符合GB18597中的有关规定。</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2、废矿物油贮存设施的设计、建设除符合危险废物贮存设计原则外，还应符合有关消防和危险品贮存设计规范。</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3、废矿物油贮存设施应远离火源，并避免高温和阳光直射。</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4、废矿物油应使用专用设施贮存，贮存前应进行检验，不应与不相容的废物混合，实行分类存放。</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5、废矿物油贮存设施内地面应作防渗处理，并建设废矿物油收集和导流系统，用于收集不慎泄漏的废矿物油。</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6、废矿物油容器盛装液体废矿物油时，应留有足够的膨胀余量，预留容积应不少于总容积的5%。</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7、已盛装废矿物油的容器应密封，贮油油罐应设置呼吸孔，防止气体膨胀，并安装防护罩，防止杂质落入</w:t>
                  </w:r>
                  <w:r>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t>。</w:t>
                  </w:r>
                </w:p>
              </w:tc>
              <w:tc>
                <w:tcPr>
                  <w:tcW w:w="1950" w:type="pct"/>
                  <w:tcBorders>
                    <w:tl2br w:val="nil"/>
                    <w:tr2bl w:val="nil"/>
                  </w:tcBorders>
                  <w:noWrap w:val="0"/>
                  <w:vAlign w:val="center"/>
                </w:tcPr>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1、项目废矿物油贮存污染控制符合GB18597中的有关规定。</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2、项目废矿物油贮存设施的设计、建设将严格按照有关消防和危险品贮存设计规范进行，并按照相关部门要求验收。</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3、项目废矿物油贮存设施附近禁止有明火，并避免高温和阳光直射。</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4、废矿物油使用专用废矿物油储罐贮存，贮存前进行检验，禁止与不相容的废物混合，实行分类存放。</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5、废矿物油暂存区地面作防渗处理，并建设废矿物油收集和导流系统，用于收集不慎泄漏的废矿物油。</w:t>
                  </w:r>
                </w:p>
                <w:p>
                  <w:pPr>
                    <w:keepLines w:val="0"/>
                    <w:pageBreakBefore w:val="0"/>
                    <w:kinsoku/>
                    <w:wordWrap w:val="0"/>
                    <w:topLinePunct w:val="0"/>
                    <w:autoSpaceDE w:val="0"/>
                    <w:autoSpaceDN w:val="0"/>
                    <w:bidi w:val="0"/>
                    <w:adjustRightInd w:val="0"/>
                    <w:snapToGrid w:val="0"/>
                    <w:spacing w:line="240" w:lineRule="auto"/>
                    <w:jc w:val="both"/>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6、废矿物油储罐留有足够的膨胀余量，预留容积为总容积的1</w:t>
                  </w:r>
                  <w:r>
                    <w:rPr>
                      <w:rFonts w:hint="eastAsia" w:ascii="Times New Roman" w:hAnsi="Times New Roman" w:eastAsia="宋体" w:cs="Times New Roman"/>
                      <w:b w:val="0"/>
                      <w:bCs w:val="0"/>
                      <w:snapToGrid w:val="0"/>
                      <w:color w:val="000000" w:themeColor="text1"/>
                      <w:spacing w:val="0"/>
                      <w:sz w:val="21"/>
                      <w:szCs w:val="21"/>
                      <w:u w:val="none"/>
                      <w:lang w:val="en-US" w:eastAsia="zh-CN"/>
                      <w14:textFill>
                        <w14:solidFill>
                          <w14:schemeClr w14:val="tx1"/>
                        </w14:solidFill>
                      </w14:textFill>
                    </w:rPr>
                    <w:t>0</w:t>
                  </w: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eastAsia="宋体" w:cs="Times New Roman"/>
                      <w:b w:val="0"/>
                      <w:bCs w:val="0"/>
                      <w:snapToGrid w:val="0"/>
                      <w:color w:val="000000" w:themeColor="text1"/>
                      <w:spacing w:val="0"/>
                      <w:sz w:val="21"/>
                      <w:szCs w:val="21"/>
                      <w:u w:val="none"/>
                      <w14:textFill>
                        <w14:solidFill>
                          <w14:schemeClr w14:val="tx1"/>
                        </w14:solidFill>
                      </w14:textFill>
                    </w:rPr>
                    <w:t>7、废矿物油储罐进行密封，并设置呼吸孔，防止气体膨胀，安装防护罩，防止杂质落入</w:t>
                  </w:r>
                  <w:r>
                    <w:rPr>
                      <w:rFonts w:hint="eastAsia" w:ascii="Times New Roman" w:hAnsi="Times New Roman" w:eastAsia="宋体" w:cs="Times New Roman"/>
                      <w:b w:val="0"/>
                      <w:bCs w:val="0"/>
                      <w:snapToGrid w:val="0"/>
                      <w:color w:val="000000" w:themeColor="text1"/>
                      <w:spacing w:val="0"/>
                      <w:sz w:val="21"/>
                      <w:szCs w:val="21"/>
                      <w:u w:val="none"/>
                      <w:lang w:eastAsia="zh-CN"/>
                      <w14:textFill>
                        <w14:solidFill>
                          <w14:schemeClr w14:val="tx1"/>
                        </w14:solidFill>
                      </w14:textFill>
                    </w:rPr>
                    <w:t>。</w:t>
                  </w:r>
                </w:p>
              </w:tc>
              <w:tc>
                <w:tcPr>
                  <w:tcW w:w="5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运输污染控制技术要求</w:t>
                  </w:r>
                </w:p>
              </w:tc>
              <w:tc>
                <w:tcPr>
                  <w:tcW w:w="2017" w:type="pct"/>
                  <w:tcBorders>
                    <w:tl2br w:val="nil"/>
                    <w:tr2bl w:val="nil"/>
                  </w:tcBorders>
                  <w:noWrap w:val="0"/>
                  <w:vAlign w:val="center"/>
                </w:tcPr>
                <w:p>
                  <w:pPr>
                    <w:keepLines w:val="0"/>
                    <w:pageBreakBefore w:val="0"/>
                    <w:kinsoku/>
                    <w:wordWrap w:val="0"/>
                    <w:topLinePunct w:val="0"/>
                    <w:autoSpaceDE w:val="0"/>
                    <w:autoSpaceDN w:val="0"/>
                    <w:bidi w:val="0"/>
                    <w:adjustRightInd w:val="0"/>
                    <w:spacing w:line="240" w:lineRule="auto"/>
                    <w:jc w:val="both"/>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1、废矿物油的运输转移应按《道路危险货物运输管理规定》、《铁路危险货物运输管理规则》、《水路危险货物运输规则》等的规定执行。</w:t>
                  </w:r>
                </w:p>
                <w:p>
                  <w:pPr>
                    <w:keepLines w:val="0"/>
                    <w:pageBreakBefore w:val="0"/>
                    <w:kinsoku/>
                    <w:wordWrap w:val="0"/>
                    <w:topLinePunct w:val="0"/>
                    <w:autoSpaceDE w:val="0"/>
                    <w:autoSpaceDN w:val="0"/>
                    <w:bidi w:val="0"/>
                    <w:adjustRightInd w:val="0"/>
                    <w:spacing w:line="240" w:lineRule="auto"/>
                    <w:jc w:val="both"/>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2、废矿物油的运输转移过程控制应按《危险废物转移联单管理办法》的规定执行。</w:t>
                  </w:r>
                </w:p>
                <w:p>
                  <w:pPr>
                    <w:keepLines w:val="0"/>
                    <w:pageBreakBefore w:val="0"/>
                    <w:kinsoku/>
                    <w:wordWrap w:val="0"/>
                    <w:topLinePunct w:val="0"/>
                    <w:autoSpaceDE w:val="0"/>
                    <w:autoSpaceDN w:val="0"/>
                    <w:bidi w:val="0"/>
                    <w:adjustRightInd w:val="0"/>
                    <w:spacing w:line="240" w:lineRule="auto"/>
                    <w:jc w:val="both"/>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3、废矿物油转运前应检查危险废物转移联单，核对品名、数量和标志等。</w:t>
                  </w:r>
                </w:p>
                <w:p>
                  <w:pPr>
                    <w:keepLines w:val="0"/>
                    <w:pageBreakBefore w:val="0"/>
                    <w:kinsoku/>
                    <w:wordWrap w:val="0"/>
                    <w:topLinePunct w:val="0"/>
                    <w:autoSpaceDE w:val="0"/>
                    <w:autoSpaceDN w:val="0"/>
                    <w:bidi w:val="0"/>
                    <w:adjustRightInd w:val="0"/>
                    <w:spacing w:line="240" w:lineRule="auto"/>
                    <w:jc w:val="both"/>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4、废矿物油转运前应制定突发环境事件应急预案。</w:t>
                  </w:r>
                </w:p>
                <w:p>
                  <w:pPr>
                    <w:keepLines w:val="0"/>
                    <w:pageBreakBefore w:val="0"/>
                    <w:kinsoku/>
                    <w:wordWrap w:val="0"/>
                    <w:topLinePunct w:val="0"/>
                    <w:bidi w:val="0"/>
                    <w:spacing w:line="240" w:lineRule="auto"/>
                    <w:jc w:val="both"/>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5、废矿物油转运前应检查转运设备和盛装容器的稳定性、严密性，确保运输途中不会破裂、倾倒和溢流。</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eastAsia" w:ascii="Times New Roman" w:hAnsi="Times New Roman" w:eastAsia="宋体"/>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14:textFill>
                        <w14:solidFill>
                          <w14:schemeClr w14:val="tx1"/>
                        </w14:solidFill>
                      </w14:textFill>
                    </w:rPr>
                    <w:t>6、废矿物油在转运过程中应设专人看护</w:t>
                  </w:r>
                  <w:r>
                    <w:rPr>
                      <w:rFonts w:hint="eastAsia" w:ascii="Times New Roman" w:hAnsi="Times New Roman"/>
                      <w:color w:val="000000" w:themeColor="text1"/>
                      <w:spacing w:val="0"/>
                      <w:sz w:val="21"/>
                      <w:szCs w:val="21"/>
                      <w:lang w:eastAsia="zh-CN"/>
                      <w14:textFill>
                        <w14:solidFill>
                          <w14:schemeClr w14:val="tx1"/>
                        </w14:solidFill>
                      </w14:textFill>
                    </w:rPr>
                    <w:t>。</w:t>
                  </w:r>
                </w:p>
              </w:tc>
              <w:tc>
                <w:tcPr>
                  <w:tcW w:w="1950" w:type="pct"/>
                  <w:tcBorders>
                    <w:tl2br w:val="nil"/>
                    <w:tr2bl w:val="nil"/>
                  </w:tcBorders>
                  <w:noWrap w:val="0"/>
                  <w:vAlign w:val="center"/>
                </w:tcPr>
                <w:p>
                  <w:pPr>
                    <w:keepLines w:val="0"/>
                    <w:pageBreakBefore w:val="0"/>
                    <w:kinsoku/>
                    <w:wordWrap w:val="0"/>
                    <w:topLinePunct w:val="0"/>
                    <w:autoSpaceDE w:val="0"/>
                    <w:autoSpaceDN w:val="0"/>
                    <w:bidi w:val="0"/>
                    <w:adjustRightInd w:val="0"/>
                    <w:spacing w:line="240" w:lineRule="auto"/>
                    <w:jc w:val="both"/>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1、</w:t>
                  </w:r>
                  <w:r>
                    <w:rPr>
                      <w:rFonts w:hint="eastAsia" w:ascii="Times New Roman" w:hAnsi="Times New Roman"/>
                      <w:color w:val="000000" w:themeColor="text1"/>
                      <w:spacing w:val="0"/>
                      <w:sz w:val="21"/>
                      <w:szCs w:val="21"/>
                      <w14:textFill>
                        <w14:solidFill>
                          <w14:schemeClr w14:val="tx1"/>
                        </w14:solidFill>
                      </w14:textFill>
                    </w:rPr>
                    <w:t>项目收集</w:t>
                  </w:r>
                  <w:r>
                    <w:rPr>
                      <w:rFonts w:ascii="Times New Roman" w:hAnsi="Times New Roman"/>
                      <w:color w:val="000000" w:themeColor="text1"/>
                      <w:spacing w:val="0"/>
                      <w:sz w:val="21"/>
                      <w:szCs w:val="21"/>
                      <w14:textFill>
                        <w14:solidFill>
                          <w14:schemeClr w14:val="tx1"/>
                        </w14:solidFill>
                      </w14:textFill>
                    </w:rPr>
                    <w:t>废矿物油</w:t>
                  </w:r>
                  <w:r>
                    <w:rPr>
                      <w:rFonts w:hint="eastAsia" w:ascii="Times New Roman" w:hAnsi="Times New Roman"/>
                      <w:color w:val="000000" w:themeColor="text1"/>
                      <w:spacing w:val="0"/>
                      <w:sz w:val="21"/>
                      <w:szCs w:val="21"/>
                      <w14:textFill>
                        <w14:solidFill>
                          <w14:schemeClr w14:val="tx1"/>
                        </w14:solidFill>
                      </w14:textFill>
                    </w:rPr>
                    <w:t>采用公路</w:t>
                  </w:r>
                  <w:r>
                    <w:rPr>
                      <w:rFonts w:ascii="Times New Roman" w:hAnsi="Times New Roman"/>
                      <w:color w:val="000000" w:themeColor="text1"/>
                      <w:spacing w:val="0"/>
                      <w:sz w:val="21"/>
                      <w:szCs w:val="21"/>
                      <w14:textFill>
                        <w14:solidFill>
                          <w14:schemeClr w14:val="tx1"/>
                        </w14:solidFill>
                      </w14:textFill>
                    </w:rPr>
                    <w:t>运输</w:t>
                  </w:r>
                  <w:r>
                    <w:rPr>
                      <w:rFonts w:hint="eastAsia" w:ascii="Times New Roman" w:hAnsi="Times New Roman"/>
                      <w:color w:val="000000" w:themeColor="text1"/>
                      <w:spacing w:val="0"/>
                      <w:sz w:val="21"/>
                      <w:szCs w:val="21"/>
                      <w14:textFill>
                        <w14:solidFill>
                          <w14:schemeClr w14:val="tx1"/>
                        </w14:solidFill>
                      </w14:textFill>
                    </w:rPr>
                    <w:t>，运输转移过程严格按照</w:t>
                  </w:r>
                  <w:r>
                    <w:rPr>
                      <w:rFonts w:ascii="Times New Roman" w:hAnsi="Times New Roman"/>
                      <w:color w:val="000000" w:themeColor="text1"/>
                      <w:spacing w:val="0"/>
                      <w:sz w:val="21"/>
                      <w:szCs w:val="21"/>
                      <w14:textFill>
                        <w14:solidFill>
                          <w14:schemeClr w14:val="tx1"/>
                        </w14:solidFill>
                      </w14:textFill>
                    </w:rPr>
                    <w:t>《道路危险货物运输管理规定》执行。</w:t>
                  </w:r>
                </w:p>
                <w:p>
                  <w:pPr>
                    <w:keepLines w:val="0"/>
                    <w:pageBreakBefore w:val="0"/>
                    <w:kinsoku/>
                    <w:wordWrap w:val="0"/>
                    <w:topLinePunct w:val="0"/>
                    <w:autoSpaceDE w:val="0"/>
                    <w:autoSpaceDN w:val="0"/>
                    <w:bidi w:val="0"/>
                    <w:adjustRightInd w:val="0"/>
                    <w:spacing w:line="240" w:lineRule="auto"/>
                    <w:jc w:val="both"/>
                    <w:rPr>
                      <w:rFonts w:ascii="Times New Roman" w:hAnsi="Times New Roman"/>
                      <w:color w:val="000000" w:themeColor="text1"/>
                      <w:spacing w:val="0"/>
                      <w:sz w:val="21"/>
                      <w:szCs w:val="21"/>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2、废矿物油的运输转移过程控制</w:t>
                  </w:r>
                  <w:r>
                    <w:rPr>
                      <w:rFonts w:hint="eastAsia" w:ascii="Times New Roman" w:hAnsi="Times New Roman"/>
                      <w:color w:val="000000" w:themeColor="text1"/>
                      <w:spacing w:val="0"/>
                      <w:sz w:val="21"/>
                      <w:szCs w:val="21"/>
                      <w14:textFill>
                        <w14:solidFill>
                          <w14:schemeClr w14:val="tx1"/>
                        </w14:solidFill>
                      </w14:textFill>
                    </w:rPr>
                    <w:t>严格按照</w:t>
                  </w:r>
                  <w:r>
                    <w:rPr>
                      <w:rFonts w:ascii="Times New Roman" w:hAnsi="Times New Roman"/>
                      <w:color w:val="000000" w:themeColor="text1"/>
                      <w:spacing w:val="0"/>
                      <w:sz w:val="21"/>
                      <w:szCs w:val="21"/>
                      <w14:textFill>
                        <w14:solidFill>
                          <w14:schemeClr w14:val="tx1"/>
                        </w14:solidFill>
                      </w14:textFill>
                    </w:rPr>
                    <w:t>《危险废物转移联单管理办法》的规定执行。</w:t>
                  </w:r>
                </w:p>
                <w:p>
                  <w:pPr>
                    <w:keepLines w:val="0"/>
                    <w:pageBreakBefore w:val="0"/>
                    <w:kinsoku/>
                    <w:wordWrap w:val="0"/>
                    <w:topLinePunct w:val="0"/>
                    <w:autoSpaceDE w:val="0"/>
                    <w:autoSpaceDN w:val="0"/>
                    <w:bidi w:val="0"/>
                    <w:adjustRightInd w:val="0"/>
                    <w:spacing w:line="240" w:lineRule="auto"/>
                    <w:jc w:val="both"/>
                    <w:rPr>
                      <w:rFonts w:hint="eastAsia" w:ascii="Times New Roman" w:hAnsi="Times New Roman" w:eastAsia="宋体"/>
                      <w:color w:val="000000" w:themeColor="text1"/>
                      <w:spacing w:val="0"/>
                      <w:sz w:val="21"/>
                      <w:szCs w:val="21"/>
                      <w:lang w:eastAsia="zh-CN"/>
                      <w14:textFill>
                        <w14:solidFill>
                          <w14:schemeClr w14:val="tx1"/>
                        </w14:solidFill>
                      </w14:textFill>
                    </w:rPr>
                  </w:pPr>
                  <w:r>
                    <w:rPr>
                      <w:rFonts w:ascii="Times New Roman" w:hAnsi="Times New Roman"/>
                      <w:color w:val="000000" w:themeColor="text1"/>
                      <w:spacing w:val="0"/>
                      <w:sz w:val="21"/>
                      <w:szCs w:val="21"/>
                      <w14:textFill>
                        <w14:solidFill>
                          <w14:schemeClr w14:val="tx1"/>
                        </w14:solidFill>
                      </w14:textFill>
                    </w:rPr>
                    <w:t>3、废矿物油转运前检查危险废物转移联单，核对品名、数量和标志等</w:t>
                  </w:r>
                  <w:r>
                    <w:rPr>
                      <w:rFonts w:hint="eastAsia" w:ascii="Times New Roman" w:hAnsi="Times New Roman"/>
                      <w:color w:val="000000" w:themeColor="text1"/>
                      <w:spacing w:val="0"/>
                      <w:sz w:val="21"/>
                      <w:szCs w:val="21"/>
                      <w14:textFill>
                        <w14:solidFill>
                          <w14:schemeClr w14:val="tx1"/>
                        </w14:solidFill>
                      </w14:textFill>
                    </w:rPr>
                    <w:t>；</w:t>
                  </w:r>
                  <w:r>
                    <w:rPr>
                      <w:rFonts w:ascii="Times New Roman" w:hAnsi="Times New Roman"/>
                      <w:color w:val="000000" w:themeColor="text1"/>
                      <w:spacing w:val="0"/>
                      <w:sz w:val="21"/>
                      <w:szCs w:val="21"/>
                      <w14:textFill>
                        <w14:solidFill>
                          <w14:schemeClr w14:val="tx1"/>
                        </w14:solidFill>
                      </w14:textFill>
                    </w:rPr>
                    <w:t>检查转运设备和盛装容器的稳定性、严密性，确保运输途中不会破裂、倾倒和溢流</w:t>
                  </w:r>
                  <w:r>
                    <w:rPr>
                      <w:rFonts w:hint="eastAsia" w:ascii="Times New Roman" w:hAnsi="Times New Roman"/>
                      <w:color w:val="000000" w:themeColor="text1"/>
                      <w:spacing w:val="0"/>
                      <w:sz w:val="21"/>
                      <w:szCs w:val="21"/>
                      <w:lang w:eastAsia="zh-CN"/>
                      <w14:textFill>
                        <w14:solidFill>
                          <w14:schemeClr w14:val="tx1"/>
                        </w14:solidFill>
                      </w14:textFill>
                    </w:rPr>
                    <w:t>。</w:t>
                  </w:r>
                </w:p>
                <w:p>
                  <w:pPr>
                    <w:keepLines w:val="0"/>
                    <w:pageBreakBefore w:val="0"/>
                    <w:kinsoku/>
                    <w:wordWrap w:val="0"/>
                    <w:topLinePunct w:val="0"/>
                    <w:autoSpaceDE w:val="0"/>
                    <w:autoSpaceDN w:val="0"/>
                    <w:bidi w:val="0"/>
                    <w:adjustRightInd w:val="0"/>
                    <w:spacing w:line="240" w:lineRule="auto"/>
                    <w:jc w:val="both"/>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4、</w:t>
                  </w:r>
                  <w:r>
                    <w:rPr>
                      <w:rFonts w:hint="eastAsia" w:ascii="Times New Roman" w:hAnsi="Times New Roman"/>
                      <w:color w:val="000000" w:themeColor="text1"/>
                      <w:spacing w:val="0"/>
                      <w:sz w:val="21"/>
                      <w:szCs w:val="21"/>
                      <w14:textFill>
                        <w14:solidFill>
                          <w14:schemeClr w14:val="tx1"/>
                        </w14:solidFill>
                      </w14:textFill>
                    </w:rPr>
                    <w:t>废矿物油转运过程中设专人看护</w:t>
                  </w:r>
                  <w:r>
                    <w:rPr>
                      <w:rFonts w:hint="eastAsia" w:ascii="Times New Roman" w:hAnsi="Times New Roman"/>
                      <w:color w:val="000000" w:themeColor="text1"/>
                      <w:spacing w:val="0"/>
                      <w:sz w:val="21"/>
                      <w:szCs w:val="21"/>
                      <w:lang w:eastAsia="zh-CN"/>
                      <w14:textFill>
                        <w14:solidFill>
                          <w14:schemeClr w14:val="tx1"/>
                        </w14:solidFill>
                      </w14:textFill>
                    </w:rPr>
                    <w:t>。</w:t>
                  </w:r>
                </w:p>
              </w:tc>
              <w:tc>
                <w:tcPr>
                  <w:tcW w:w="5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8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管理要求</w:t>
                  </w:r>
                </w:p>
              </w:tc>
              <w:tc>
                <w:tcPr>
                  <w:tcW w:w="2017" w:type="pct"/>
                  <w:tcBorders>
                    <w:tl2br w:val="nil"/>
                    <w:tr2bl w:val="nil"/>
                  </w:tcBorders>
                  <w:noWrap w:val="0"/>
                  <w:vAlign w:val="center"/>
                </w:tcPr>
                <w:p>
                  <w:pPr>
                    <w:keepLines w:val="0"/>
                    <w:pageBreakBefore w:val="0"/>
                    <w:kinsoku/>
                    <w:wordWrap w:val="0"/>
                    <w:topLinePunct w:val="0"/>
                    <w:bidi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1、废矿物油经营单位应按照《危险废物经营许可证管理办法》的规定执行。</w:t>
                  </w:r>
                </w:p>
                <w:p>
                  <w:pPr>
                    <w:keepLines w:val="0"/>
                    <w:pageBreakBefore w:val="0"/>
                    <w:kinsoku/>
                    <w:wordWrap w:val="0"/>
                    <w:topLinePunct w:val="0"/>
                    <w:bidi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2、废矿物油经营单位应按照《危险废物经营单位记录和报告经营情况指南》建立废矿物油经营情况记录和报告制度；</w:t>
                  </w:r>
                </w:p>
                <w:p>
                  <w:pPr>
                    <w:keepLines w:val="0"/>
                    <w:pageBreakBefore w:val="0"/>
                    <w:kinsoku/>
                    <w:wordWrap w:val="0"/>
                    <w:topLinePunct w:val="0"/>
                    <w:bidi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3、废矿物油产生单位的产生记录，废矿物油经营单位的经营情况记录，以及污染物排放监测记录应保存 10 年以上，并接受环境保护主管部门的检查。</w:t>
                  </w:r>
                </w:p>
                <w:p>
                  <w:pPr>
                    <w:keepLines w:val="0"/>
                    <w:pageBreakBefore w:val="0"/>
                    <w:kinsoku/>
                    <w:wordWrap w:val="0"/>
                    <w:topLinePunct w:val="0"/>
                    <w:bidi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4、废矿物油产生单位和废矿物油经营单位应建立环境保护管理责任制度，设置环境保护部门或者专（兼）职人员，负责监督废矿物油收集、贮存、运输、利用和处置过程中的环境保护及相关管理工作。</w:t>
                  </w:r>
                </w:p>
                <w:p>
                  <w:pPr>
                    <w:keepNext w:val="0"/>
                    <w:keepLines w:val="0"/>
                    <w:pageBreakBefore w:val="0"/>
                    <w:widowControl w:val="0"/>
                    <w:kinsoku/>
                    <w:wordWrap w:val="0"/>
                    <w:overflowPunct/>
                    <w:topLinePunct w:val="0"/>
                    <w:autoSpaceDE/>
                    <w:autoSpaceDN/>
                    <w:bidi w:val="0"/>
                    <w:adjustRightInd/>
                    <w:snapToGrid/>
                    <w:spacing w:line="240" w:lineRule="auto"/>
                    <w:jc w:val="both"/>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5、废矿物油经营单位应按照《危险废物经营单位编制应急预案指南》建立污染预防机制和环境污染事故应急预案制度。</w:t>
                  </w:r>
                </w:p>
              </w:tc>
              <w:tc>
                <w:tcPr>
                  <w:tcW w:w="1950" w:type="pct"/>
                  <w:tcBorders>
                    <w:tl2br w:val="nil"/>
                    <w:tr2bl w:val="nil"/>
                  </w:tcBorders>
                  <w:noWrap w:val="0"/>
                  <w:vAlign w:val="center"/>
                </w:tcPr>
                <w:p>
                  <w:pPr>
                    <w:keepLines w:val="0"/>
                    <w:pageBreakBefore w:val="0"/>
                    <w:kinsoku/>
                    <w:wordWrap w:val="0"/>
                    <w:topLinePunct w:val="0"/>
                    <w:autoSpaceDE w:val="0"/>
                    <w:autoSpaceDN w:val="0"/>
                    <w:bidi w:val="0"/>
                    <w:adjustRightInd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1、本项目将按照《危险废物经营许可证管理办法》的规定执行，建设单位在未取得危险废物经营许可证之前，不得开展经营活动。</w:t>
                  </w:r>
                </w:p>
                <w:p>
                  <w:pPr>
                    <w:keepLines w:val="0"/>
                    <w:pageBreakBefore w:val="0"/>
                    <w:kinsoku/>
                    <w:wordWrap w:val="0"/>
                    <w:topLinePunct w:val="0"/>
                    <w:autoSpaceDE w:val="0"/>
                    <w:autoSpaceDN w:val="0"/>
                    <w:bidi w:val="0"/>
                    <w:adjustRightInd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2、本项目将按照《危险废物经营单位记录和报告经营情况指南》建立废矿物油经营情况记录和报告制度。</w:t>
                  </w:r>
                </w:p>
                <w:p>
                  <w:pPr>
                    <w:keepLines w:val="0"/>
                    <w:pageBreakBefore w:val="0"/>
                    <w:kinsoku/>
                    <w:wordWrap w:val="0"/>
                    <w:topLinePunct w:val="0"/>
                    <w:autoSpaceDE w:val="0"/>
                    <w:autoSpaceDN w:val="0"/>
                    <w:bidi w:val="0"/>
                    <w:adjustRightInd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3、本项目的经营情况记录，以及污染物排放监测记录将按照《危险废物经营单位记录和报告经营情况指南》要求应保存10年以上，并接受环境保护主管部门的检查。</w:t>
                  </w:r>
                </w:p>
                <w:p>
                  <w:pPr>
                    <w:keepLines w:val="0"/>
                    <w:pageBreakBefore w:val="0"/>
                    <w:kinsoku/>
                    <w:wordWrap w:val="0"/>
                    <w:topLinePunct w:val="0"/>
                    <w:autoSpaceDE w:val="0"/>
                    <w:autoSpaceDN w:val="0"/>
                    <w:bidi w:val="0"/>
                    <w:adjustRightInd w:val="0"/>
                    <w:spacing w:line="240" w:lineRule="auto"/>
                    <w:jc w:val="both"/>
                    <w:rPr>
                      <w:rFonts w:hint="eastAsia" w:ascii="Times New Roman" w:hAnsi="Times New Roman"/>
                      <w:color w:val="000000" w:themeColor="text1"/>
                      <w:spacing w:val="0"/>
                      <w:sz w:val="21"/>
                      <w:szCs w:val="21"/>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4、本项目建立环境保护管理责任制度，设置环境保护部门或者专（兼）职人员，负责监督废矿物油收集、贮存、运输、利用和处置过程中的环境保护及相关管理工作。</w:t>
                  </w:r>
                </w:p>
                <w:p>
                  <w:pPr>
                    <w:keepLines w:val="0"/>
                    <w:pageBreakBefore w:val="0"/>
                    <w:kinsoku/>
                    <w:wordWrap w:val="0"/>
                    <w:topLinePunct w:val="0"/>
                    <w:autoSpaceDE w:val="0"/>
                    <w:autoSpaceDN w:val="0"/>
                    <w:bidi w:val="0"/>
                    <w:adjustRightInd w:val="0"/>
                    <w:spacing w:line="240" w:lineRule="auto"/>
                    <w:jc w:val="both"/>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color w:val="000000" w:themeColor="text1"/>
                      <w:spacing w:val="0"/>
                      <w:sz w:val="21"/>
                      <w:szCs w:val="21"/>
                      <w:lang w:val="en-US" w:eastAsia="zh-CN"/>
                      <w14:textFill>
                        <w14:solidFill>
                          <w14:schemeClr w14:val="tx1"/>
                        </w14:solidFill>
                      </w14:textFill>
                    </w:rPr>
                    <w:t>5、本项目按照《危险废物经营单位编制应急预案指南》建立污染预防机制和环境污染事故应急预案制度。</w:t>
                  </w:r>
                </w:p>
              </w:tc>
              <w:tc>
                <w:tcPr>
                  <w:tcW w:w="5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b w:val="0"/>
                      <w:bCs/>
                      <w:color w:val="000000" w:themeColor="text1"/>
                      <w:spacing w:val="0"/>
                      <w:sz w:val="24"/>
                      <w:szCs w:val="20"/>
                      <w:vertAlign w:val="baseline"/>
                      <w:lang w:val="en-US" w:eastAsia="zh-CN"/>
                      <w14:textFill>
                        <w14:solidFill>
                          <w14:schemeClr w14:val="tx1"/>
                        </w14:solidFill>
                      </w14:textFill>
                    </w:rPr>
                  </w:pPr>
                  <w:r>
                    <w:rPr>
                      <w:rFonts w:hint="eastAsia" w:ascii="Times New Roman" w:hAnsi="Times New Roman"/>
                      <w:b w:val="0"/>
                      <w:bCs/>
                      <w:color w:val="000000" w:themeColor="text1"/>
                      <w:spacing w:val="0"/>
                      <w:sz w:val="24"/>
                      <w:szCs w:val="20"/>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color w:val="000000" w:themeColor="text1"/>
                <w:spacing w:val="0"/>
                <w:kern w:val="0"/>
                <w:sz w:val="24"/>
                <w:szCs w:val="24"/>
                <w:lang w:val="en-US" w:eastAsia="zh-CN"/>
                <w14:textFill>
                  <w14:solidFill>
                    <w14:schemeClr w14:val="tx1"/>
                  </w14:solidFill>
                </w14:textFill>
              </w:rPr>
            </w:pPr>
            <w:r>
              <w:rPr>
                <w:rFonts w:hint="eastAsia" w:ascii="Times New Roman" w:hAnsi="Times New Roman"/>
                <w:b w:val="0"/>
                <w:bCs/>
                <w:color w:val="000000" w:themeColor="text1"/>
                <w:spacing w:val="0"/>
                <w:sz w:val="24"/>
                <w:szCs w:val="20"/>
                <w:lang w:val="en-US" w:eastAsia="zh-CN"/>
                <w14:textFill>
                  <w14:solidFill>
                    <w14:schemeClr w14:val="tx1"/>
                  </w14:solidFill>
                </w14:textFill>
              </w:rPr>
              <w:t>综上，项目符合</w:t>
            </w:r>
            <w:r>
              <w:rPr>
                <w:rFonts w:hint="eastAsia" w:ascii="Times New Roman" w:hAnsi="Times New Roman" w:eastAsia="宋体" w:cs="Times New Roman"/>
                <w:color w:val="000000" w:themeColor="text1"/>
                <w:spacing w:val="0"/>
                <w:kern w:val="0"/>
                <w:sz w:val="24"/>
                <w:szCs w:val="24"/>
                <w:lang w:val="en-US" w:eastAsia="zh-CN"/>
                <w14:textFill>
                  <w14:solidFill>
                    <w14:schemeClr w14:val="tx1"/>
                  </w14:solidFill>
                </w14:textFill>
              </w:rPr>
              <w:t>《废矿物油回收利用污染控制技术规范》（HJ607-2011）要求。</w:t>
            </w:r>
          </w:p>
          <w:p>
            <w:pPr>
              <w:keepNext w:val="0"/>
              <w:keepLines w:val="0"/>
              <w:pageBreakBefore w:val="0"/>
              <w:widowControl w:val="0"/>
              <w:kinsoku/>
              <w:wordWrap w:val="0"/>
              <w:overflowPunct/>
              <w:topLinePunct w:val="0"/>
              <w:autoSpaceDE/>
              <w:autoSpaceDN/>
              <w:bidi w:val="0"/>
              <w:adjustRightInd/>
              <w:snapToGrid/>
              <w:spacing w:line="500" w:lineRule="exact"/>
              <w:jc w:val="both"/>
              <w:textAlignment w:val="auto"/>
              <w:rPr>
                <w:rFonts w:ascii="Times New Roman" w:hAnsi="Times New Roman" w:eastAsia="黑体"/>
                <w:b/>
                <w:color w:val="000000" w:themeColor="text1"/>
                <w:spacing w:val="0"/>
                <w:sz w:val="24"/>
                <w:szCs w:val="20"/>
                <w14:textFill>
                  <w14:solidFill>
                    <w14:schemeClr w14:val="tx1"/>
                  </w14:solidFill>
                </w14:textFill>
              </w:rPr>
            </w:pPr>
            <w:r>
              <w:rPr>
                <w:rFonts w:hint="eastAsia" w:ascii="Times New Roman" w:hAnsi="Times New Roman" w:eastAsia="宋体" w:cs="Times New Roman"/>
                <w:b/>
                <w:bCs/>
                <w:color w:val="000000" w:themeColor="text1"/>
                <w:spacing w:val="0"/>
                <w:kern w:val="0"/>
                <w:sz w:val="24"/>
                <w:szCs w:val="24"/>
                <w:lang w:val="en-US" w:eastAsia="zh-CN"/>
                <w14:textFill>
                  <w14:solidFill>
                    <w14:schemeClr w14:val="tx1"/>
                  </w14:solidFill>
                </w14:textFill>
              </w:rPr>
              <w:t>1.14</w:t>
            </w:r>
            <w:r>
              <w:rPr>
                <w:rFonts w:hint="eastAsia" w:ascii="Times New Roman" w:hAnsi="Times New Roman"/>
                <w:b/>
                <w:color w:val="000000" w:themeColor="text1"/>
                <w:spacing w:val="0"/>
                <w:sz w:val="24"/>
                <w:szCs w:val="20"/>
                <w14:textFill>
                  <w14:solidFill>
                    <w14:schemeClr w14:val="tx1"/>
                  </w14:solidFill>
                </w14:textFill>
              </w:rPr>
              <w:t>与《河南省重污染天气通用行业应急减排措施制定技术指南》（</w:t>
            </w:r>
            <w:r>
              <w:rPr>
                <w:rFonts w:ascii="Times New Roman" w:hAnsi="Times New Roman"/>
                <w:b/>
                <w:bCs/>
                <w:color w:val="000000" w:themeColor="text1"/>
                <w:spacing w:val="0"/>
                <w:sz w:val="24"/>
                <w:szCs w:val="20"/>
                <w14:textFill>
                  <w14:solidFill>
                    <w14:schemeClr w14:val="tx1"/>
                  </w14:solidFill>
                </w14:textFill>
              </w:rPr>
              <w:t xml:space="preserve">2021 </w:t>
            </w:r>
            <w:r>
              <w:rPr>
                <w:rFonts w:hint="eastAsia" w:ascii="Times New Roman" w:hAnsi="Times New Roman"/>
                <w:b/>
                <w:color w:val="000000" w:themeColor="text1"/>
                <w:spacing w:val="0"/>
                <w:sz w:val="24"/>
                <w:szCs w:val="20"/>
                <w14:textFill>
                  <w14:solidFill>
                    <w14:schemeClr w14:val="tx1"/>
                  </w14:solidFill>
                </w14:textFill>
              </w:rPr>
              <w:t>年修订版）相符性分析</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color w:val="000000" w:themeColor="text1"/>
                <w:spacing w:val="0"/>
                <w:kern w:val="0"/>
                <w:sz w:val="24"/>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根据《河南省重污染天气通用行业应急减排措施制定技术指南（</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年修订版）》（豫环文〔</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94</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号）中管理要求，本项目属于危险废物治理业，参照文件中“涉</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VOCs</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企业基本要求”指标进行分析。本项目与通用行业绩效分级指标相符性分析见下表</w:t>
            </w:r>
            <w:r>
              <w:rPr>
                <w:rFonts w:hint="eastAsia" w:ascii="Times New Roman" w:hAnsi="Times New Roman"/>
                <w:color w:val="000000" w:themeColor="text1"/>
                <w:spacing w:val="0"/>
                <w:kern w:val="0"/>
                <w:sz w:val="24"/>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b/>
                <w:bCs/>
                <w:color w:val="000000" w:themeColor="text1"/>
                <w:spacing w:val="0"/>
                <w:kern w:val="0"/>
                <w:sz w:val="21"/>
                <w:szCs w:val="21"/>
                <w:lang w:val="en-US" w:eastAsia="zh-CN"/>
                <w14:textFill>
                  <w14:solidFill>
                    <w14:schemeClr w14:val="tx1"/>
                  </w14:solidFill>
                </w14:textFill>
              </w:rPr>
            </w:pPr>
            <w:r>
              <w:rPr>
                <w:rFonts w:hint="eastAsia" w:ascii="Times New Roman" w:hAnsi="Times New Roman"/>
                <w:b/>
                <w:bCs/>
                <w:color w:val="000000" w:themeColor="text1"/>
                <w:spacing w:val="0"/>
                <w:kern w:val="0"/>
                <w:sz w:val="21"/>
                <w:szCs w:val="21"/>
                <w:lang w:val="en-US" w:eastAsia="zh-CN"/>
                <w14:textFill>
                  <w14:solidFill>
                    <w14:schemeClr w14:val="tx1"/>
                  </w14:solidFill>
                </w14:textFill>
              </w:rPr>
              <w:t>表1-13  项目与通用行业绩效分级指标相符性分析</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92"/>
              <w:gridCol w:w="3919"/>
              <w:gridCol w:w="3047"/>
              <w:gridCol w:w="97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96"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差异化指标</w:t>
                  </w:r>
                </w:p>
              </w:tc>
              <w:tc>
                <w:tcPr>
                  <w:tcW w:w="1744"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企业情况</w:t>
                  </w:r>
                </w:p>
              </w:tc>
              <w:tc>
                <w:tcPr>
                  <w:tcW w:w="55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相符性</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物料储存</w:t>
                  </w:r>
                </w:p>
              </w:tc>
              <w:tc>
                <w:tcPr>
                  <w:tcW w:w="2242"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涂料、稀释剂、清洗剂等原辅材料密闭存储。盛装过VOCs物料的包装容器、含VOCs废料（渣、液）、废吸附剂等通过加盖、封装等方式密闭储存；生产车间内涉VOCs物料应密闭储存。</w:t>
                  </w:r>
                </w:p>
              </w:tc>
              <w:tc>
                <w:tcPr>
                  <w:tcW w:w="1744"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项目涉VOCs物料</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主要类别为</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废矿物油与含矿物油废物</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，该类物料</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储存、转移过程均</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保持</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密闭</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w:t>
                  </w:r>
                </w:p>
              </w:tc>
              <w:tc>
                <w:tcPr>
                  <w:tcW w:w="55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物料转移和输送</w:t>
                  </w:r>
                </w:p>
              </w:tc>
              <w:tc>
                <w:tcPr>
                  <w:tcW w:w="2242"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采用密闭管道或密闭容器等输送。</w:t>
                  </w:r>
                </w:p>
              </w:tc>
              <w:tc>
                <w:tcPr>
                  <w:tcW w:w="1744"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废机油在装卸区直接将输油软管插入油罐中，用装卸区的输油泵将废机油密闭输送至储油罐内；</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后续该类物料转移和输送均储存</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在储油罐</w:t>
                  </w:r>
                  <w:r>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内</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进行。</w:t>
                  </w:r>
                </w:p>
              </w:tc>
              <w:tc>
                <w:tcPr>
                  <w:tcW w:w="55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相符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工艺过程</w:t>
                  </w:r>
                </w:p>
              </w:tc>
              <w:tc>
                <w:tcPr>
                  <w:tcW w:w="2242"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sz w:val="21"/>
                      <w:szCs w:val="21"/>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原辅材料调配、使用（施胶、喷涂、干燥等）、回收等过程采用密闭设备或在密闭空间内操作。</w:t>
                  </w:r>
                </w:p>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涉VOCs原料装卸、储存、转移和输送、工艺过程等环节的废气全部收集引至VOCs处理系统。</w:t>
                  </w:r>
                </w:p>
              </w:tc>
              <w:tc>
                <w:tcPr>
                  <w:tcW w:w="1744" w:type="pc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color w:val="000000" w:themeColor="text1"/>
                      <w:spacing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废矿物油与含矿物油废物贮存区在车间内二次密闭，采用负压抽风方式对废气进行收集，采用活性炭吸附+</w:t>
                  </w:r>
                  <w:r>
                    <w:rPr>
                      <w:rFonts w:hint="eastAsia"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催化燃烧</w:t>
                  </w:r>
                  <w:r>
                    <w:rPr>
                      <w:rFonts w:hint="default" w:ascii="Times New Roman" w:hAnsi="Times New Roman" w:eastAsia="宋体" w:cs="Times New Roman"/>
                      <w:color w:val="000000" w:themeColor="text1"/>
                      <w:spacing w:val="0"/>
                      <w:kern w:val="0"/>
                      <w:sz w:val="21"/>
                      <w:szCs w:val="21"/>
                      <w:lang w:val="en-US" w:eastAsia="zh-CN" w:bidi="ar"/>
                      <w14:textFill>
                        <w14:solidFill>
                          <w14:schemeClr w14:val="tx1"/>
                        </w14:solidFill>
                      </w14:textFill>
                    </w:rPr>
                    <w:t>装置处理废气。</w:t>
                  </w:r>
                </w:p>
              </w:tc>
              <w:tc>
                <w:tcPr>
                  <w:tcW w:w="55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sz w:val="21"/>
                      <w:szCs w:val="21"/>
                      <w:vertAlign w:val="baseline"/>
                      <w:lang w:val="en-US" w:eastAsia="zh-CN"/>
                      <w14:textFill>
                        <w14:solidFill>
                          <w14:schemeClr w14:val="tx1"/>
                        </w14:solidFill>
                      </w14:textFill>
                    </w:rPr>
                    <w:t>相符</w:t>
                  </w:r>
                </w:p>
              </w:tc>
            </w:tr>
          </w:tbl>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sz w:val="24"/>
                <w:lang w:val="en-US" w:eastAsia="zh-CN"/>
                <w14:textFill>
                  <w14:solidFill>
                    <w14:schemeClr w14:val="tx1"/>
                  </w14:solidFill>
                </w14:textFill>
              </w:rPr>
              <w:t>综上，项目符合</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《河南省重污染天气通用行业应急减排措施制定技术指南（</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年修订版）》（豫环文〔</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2021</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94</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号）中管理要求。</w:t>
            </w:r>
          </w:p>
          <w:p>
            <w:pPr>
              <w:keepLines w:val="0"/>
              <w:pageBreakBefore w:val="0"/>
              <w:kinsoku/>
              <w:wordWrap w:val="0"/>
              <w:topLinePunct w:val="0"/>
              <w:bidi w:val="0"/>
              <w:spacing w:line="500" w:lineRule="exact"/>
              <w:jc w:val="both"/>
              <w:rPr>
                <w:rFonts w:hint="default" w:ascii="Times New Roman" w:hAnsi="Times New Roman" w:eastAsia="宋体" w:cs="Times New Roman"/>
                <w:b/>
                <w:bCs/>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spacing w:val="0"/>
                <w:kern w:val="0"/>
                <w:sz w:val="24"/>
                <w:szCs w:val="24"/>
                <w:lang w:val="en-US" w:eastAsia="zh-CN" w:bidi="ar"/>
                <w14:textFill>
                  <w14:solidFill>
                    <w14:schemeClr w14:val="tx1"/>
                  </w14:solidFill>
                </w14:textFill>
              </w:rPr>
              <w:t>1.15</w:t>
            </w:r>
            <w:r>
              <w:rPr>
                <w:rFonts w:hint="default" w:ascii="Times New Roman" w:hAnsi="Times New Roman" w:eastAsia="宋体" w:cs="Times New Roman"/>
                <w:b/>
                <w:bCs/>
                <w:color w:val="000000" w:themeColor="text1"/>
                <w:spacing w:val="0"/>
                <w:kern w:val="0"/>
                <w:sz w:val="24"/>
                <w:szCs w:val="24"/>
                <w:lang w:val="en-US" w:eastAsia="zh-CN" w:bidi="ar"/>
                <w14:textFill>
                  <w14:solidFill>
                    <w14:schemeClr w14:val="tx1"/>
                  </w14:solidFill>
                </w14:textFill>
              </w:rPr>
              <w:t>项目与区域集中式饮用水源保护区划相符性分析</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82" w:firstLineChars="200"/>
              <w:textAlignment w:val="auto"/>
              <w:rPr>
                <w:rFonts w:hint="default" w:ascii="Times New Roman" w:hAnsi="Times New Roman" w:eastAsia="宋体" w:cs="Times New Roman"/>
                <w:b/>
                <w:bCs/>
                <w:color w:val="000000" w:themeColor="text1"/>
                <w:spacing w:val="0"/>
                <w:sz w:val="24"/>
                <w:szCs w:val="24"/>
                <w14:textFill>
                  <w14:solidFill>
                    <w14:schemeClr w14:val="tx1"/>
                  </w14:solidFill>
                </w14:textFill>
              </w:rPr>
            </w:pP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（1）</w:t>
            </w:r>
            <w:r>
              <w:rPr>
                <w:rFonts w:hint="default" w:ascii="Times New Roman" w:hAnsi="Times New Roman" w:eastAsia="宋体" w:cs="Times New Roman"/>
                <w:b/>
                <w:bCs/>
                <w:color w:val="000000" w:themeColor="text1"/>
                <w:spacing w:val="0"/>
                <w:sz w:val="24"/>
                <w:szCs w:val="24"/>
                <w14:textFill>
                  <w14:solidFill>
                    <w14:schemeClr w14:val="tx1"/>
                  </w14:solidFill>
                </w14:textFill>
              </w:rPr>
              <w:t>与《河南省城市集中式饮用水水源保护区划》的相符性</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2019年9月24日，河南省人民政府办公厅印发了《关于划定调整取消部分集中式饮用水源保护区的通知》（豫政文[2019]125号），集中式饮用水源保护区划分如下：</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襄城县涉及的饮用水源保护区分别为：北汝河地表水饮用水源保护区、麦岭地下水饮用水源保护区（共10眼），根据调整通知，北汝河饮用水源保护区划分范围如下：</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一级保护区：北汝河大陈闸至百宁大道桥河道内的区域及河道外两侧防洪堤坝外沿线以内的区域；颍汝干渠渠首至颍北新闸河道内区域及河道外两侧50m的区域。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二级保护区：北汝河大陈闸至百宁大道桥一级保护区外，左岸省道238至右岸县道021以内的区域；北汝河百宁大道桥至平禹铁路桥河道内的区域及河道外两侧防洪堤坝外沿线以内的区域。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准保护区：北汝河平禹铁路桥至许昌市界内（鲁渡监测断面）河道内的区域及河道外两侧1000m的区域；柳河河道内区域及河道两侧1000m的区域；马湟河河道内区域及河道外两侧1000m的区域。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麦岭地下水饮用水源一级保护区：开采井外围50m的区域。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项目厂区距离北汝河地表水饮用水源保护区6km，不在北汝河地表水饮用水源保护区二级保护区内</w:t>
            </w: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2" w:firstLineChars="200"/>
              <w:jc w:val="both"/>
              <w:textAlignment w:val="auto"/>
              <w:rPr>
                <w:rFonts w:ascii="Times New Roman" w:hAnsi="Times New Roman" w:eastAsia="宋体" w:cs="宋体"/>
                <w:color w:val="000000" w:themeColor="text1"/>
                <w:spacing w:val="0"/>
                <w:sz w:val="24"/>
                <w:szCs w:val="24"/>
                <w14:textFill>
                  <w14:solidFill>
                    <w14:schemeClr w14:val="tx1"/>
                  </w14:solidFill>
                </w14:textFill>
              </w:rPr>
            </w:pPr>
            <w:r>
              <w:rPr>
                <w:rFonts w:hint="eastAsia" w:ascii="Times New Roman" w:hAnsi="Times New Roman" w:eastAsia="宋体" w:cs="Times New Roman"/>
                <w:b/>
                <w:bCs/>
                <w:color w:val="000000" w:themeColor="text1"/>
                <w:spacing w:val="0"/>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pacing w:val="0"/>
                <w:sz w:val="24"/>
                <w:szCs w:val="24"/>
                <w:lang w:val="en-US" w:eastAsia="zh-CN"/>
                <w14:textFill>
                  <w14:solidFill>
                    <w14:schemeClr w14:val="tx1"/>
                  </w14:solidFill>
                </w14:textFill>
              </w:rPr>
              <w:t>与《河南省乡镇集中式饮用水水源保护区划》的相符性</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根据河南省人民政府办公厅《关于印发河南省乡镇集中式饮用水水源保护区划的通知》豫政办[2016]23号：</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襄城县境内划分的乡镇级集中式饮用水水源保护区包括：</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①襄城县湛北乡水厂地下水井（共1眼井）</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一级保护区范围：水厂厂区及外围南40米的区域。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二级保护区范围：一级保护区外围500米的区域。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②襄城县丁营乡水厂地下水井（共1眼井）</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一级保护区范围：水厂厂区及外围东48米、西6米、南46米、北22米的区域。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③襄城县库庄镇水厂地下水井（共1眼井）</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一级保护区范围：水厂厂区及外围东28米、西38米、南26米、北28米的区域。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④襄城县十里铺乡水厂地下水井（共1眼井）</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一级保护区范围：水厂厂区及外围东47米、西21米、南至238省道、北22米的区域。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⑤襄城县颍回镇水厂地下水井（共1眼井）</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一级保护区范围：水厂厂区及外围东31米、西43米、南至024县道、北40米的区域。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项目距离上述乡镇集中式饮用水水源保护区 1km 以上，本项目的建设不会对襄城县乡镇集中式饮用水水源地产生影响。</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2" w:firstLineChars="200"/>
              <w:jc w:val="both"/>
              <w:textAlignment w:val="auto"/>
              <w:rPr>
                <w:rFonts w:ascii="Times New Roman" w:hAnsi="Times New Roman" w:eastAsia="宋体" w:cs="宋体"/>
                <w:b/>
                <w:bCs/>
                <w:color w:val="000000" w:themeColor="text1"/>
                <w:spacing w:val="0"/>
                <w:sz w:val="24"/>
                <w:szCs w:val="24"/>
                <w14:textFill>
                  <w14:solidFill>
                    <w14:schemeClr w14:val="tx1"/>
                  </w14:solidFill>
                </w14:textFill>
              </w:rPr>
            </w:pPr>
            <w:r>
              <w:rPr>
                <w:rFonts w:hint="eastAsia" w:ascii="Times New Roman" w:hAnsi="Times New Roman" w:eastAsia="宋体" w:cs="Times New Roman"/>
                <w:b/>
                <w:bCs/>
                <w:color w:val="000000" w:themeColor="text1"/>
                <w:spacing w:val="0"/>
                <w:kern w:val="0"/>
                <w:sz w:val="24"/>
                <w:szCs w:val="24"/>
                <w:lang w:val="en-US" w:eastAsia="zh-CN" w:bidi="ar"/>
                <w14:textFill>
                  <w14:solidFill>
                    <w14:schemeClr w14:val="tx1"/>
                  </w14:solidFill>
                </w14:textFill>
              </w:rPr>
              <w:t>（3）</w:t>
            </w:r>
            <w:r>
              <w:rPr>
                <w:rFonts w:ascii="Times New Roman" w:hAnsi="Times New Roman" w:eastAsia="宋体" w:cs="宋体"/>
                <w:b/>
                <w:bCs/>
                <w:color w:val="000000" w:themeColor="text1"/>
                <w:spacing w:val="0"/>
                <w:sz w:val="24"/>
                <w:szCs w:val="24"/>
                <w14:textFill>
                  <w14:solidFill>
                    <w14:schemeClr w14:val="tx1"/>
                  </w14:solidFill>
                </w14:textFill>
              </w:rPr>
              <w:t>与《襄城县“千吨万人”集中式饮用水水源保护区划》的相符性</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根据《河南省襄城县“千吨万人”集中式饮用水水源保护范围（区）划分技术报告》，襄城县”千吨万人”饮用水源地保护区具体情况如下</w:t>
            </w: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颍阳镇苏庄村地下水型水源地：一级保护区：东边边界以水厂外围墙外延23.10m，西边边界以水厂外围墙外延15.76m，北边边界以水厂外围墙为保护区边界，南边边界以水厂外围墙外延16.87m，组成的多边形区域。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王洛镇白塔寺郭地下水型水源地：一级保护区：东边边界以水厂外围墙外延10.61m，西边边界以水厂外围墙外延18.85m，北边边界以水厂外围墙外延7.72m，南边边界以水厂外围墙外延21.70m，组成的多边形区域。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库庄镇关帝庙村地下水型水源地：一级保护区：东边边界和北边边界以水厂围墙边界为保护区界限，南边边界以水厂外围墙外延14.67m，西边边界以水厂外围墙外延27.52m，组成的多边形区域。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十里铺镇二十里铺村地下水型水源地：一级保护区：东边边界以水厂外围墙外延22.86m，西边边界以水厂外围墙位保护区界限，北边边界以水厂外围墙外延15.36m，南边边界以水厂外围墙外延16.73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山头店镇孙庄村地下水型水源地：一级保护区：东边边界以水厂外围墙外延27.18m，西边边界以水厂外围墙外延8.3m，北边边界以水厂外围墙外延7.13m，南边边界以水厂外围墙外延28.11m，组成的多边形区域。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茨沟乡聂庄村地下水型水源地：一级保护区：东边边界以水厂外围墙外延16.25m，西侧和南侧以水厂围墙边界为保护区界限，北边界以水厂外围墙外延26.83m，组成的多边形区域。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茨沟乡茨东村地下水型水源地：一级保护区：取水井外围30m的区域。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姜庄乡姜庄村地下水型水源地：一级保护区：东边边界以水厂外围墙外延26.56m，西侧和北侧以水厂围墙边界为保护区界限，南边界以水厂外围墙外延7.31m，组成的多边形区域。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姜庄乡石营村地下水型水源地：一级保护区：东边边界以水厂外围墙外延25.8m，西侧和南侧以水厂围墙边界为保护区界限，北边边界以水厂外围墙外延15.05m，组成的多边形区域。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sz w:val="24"/>
                <w:szCs w:val="24"/>
                <w:lang w:val="en-US" w:eastAsia="zh-CN" w:bidi="ar"/>
                <w14:textFill>
                  <w14:solidFill>
                    <w14:schemeClr w14:val="tx1"/>
                  </w14:solidFill>
                </w14:textFill>
              </w:rPr>
              <w:t>姜庄乡段店村地下水型水源地：一级保护区：东边边界以水厂围墙边界为保护区界限，西边界以至以水厂外围墙外延25.4m，南边边界以水厂最南部外围墙外延5.95m，北边边界以水厂外围墙外延8.44m，组成的多边形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项目距离上述襄城县“千吨万人”饮用水源地保护区 6km 以上，本项目的建设不会对襄城县“千吨万人”饮用水源地保护区地产生影响。</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spacing w:val="0"/>
                <w:kern w:val="0"/>
                <w:sz w:val="24"/>
                <w14:textFill>
                  <w14:solidFill>
                    <w14:schemeClr w14:val="tx1"/>
                  </w14:solidFill>
                </w14:textFill>
              </w:rPr>
            </w:pPr>
            <w:r>
              <w:rPr>
                <w:rFonts w:hint="eastAsia" w:ascii="Times New Roman" w:hAnsi="Times New Roman" w:eastAsia="宋体" w:cs="宋体"/>
                <w:color w:val="000000" w:themeColor="text1"/>
                <w:spacing w:val="0"/>
                <w:kern w:val="0"/>
                <w:sz w:val="24"/>
                <w:szCs w:val="24"/>
                <w:lang w:val="en-US" w:eastAsia="zh-CN" w:bidi="ar"/>
                <w14:textFill>
                  <w14:solidFill>
                    <w14:schemeClr w14:val="tx1"/>
                  </w14:solidFill>
                </w14:textFill>
              </w:rPr>
              <w:t>综上，本项目的建设符合国家及地方相关文件要求。</w:t>
            </w:r>
          </w:p>
        </w:tc>
      </w:tr>
    </w:tbl>
    <w:p>
      <w:pPr>
        <w:keepLines w:val="0"/>
        <w:pageBreakBefore w:val="0"/>
        <w:kinsoku/>
        <w:wordWrap w:val="0"/>
        <w:topLinePunct w:val="0"/>
        <w:bidi w:val="0"/>
        <w:spacing w:line="360" w:lineRule="auto"/>
        <w:outlineLvl w:val="0"/>
        <w:rPr>
          <w:rFonts w:ascii="Times New Roman" w:hAnsi="Times New Roman" w:eastAsia="黑体"/>
          <w:color w:val="000000" w:themeColor="text1"/>
          <w:sz w:val="30"/>
          <w14:textFill>
            <w14:solidFill>
              <w14:schemeClr w14:val="tx1"/>
            </w14:solidFill>
          </w14:textFill>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15"/>
        <w:keepLines w:val="0"/>
        <w:pageBreakBefore w:val="0"/>
        <w:kinsoku/>
        <w:wordWrap w:val="0"/>
        <w:topLinePunct w:val="0"/>
        <w:bidi w:val="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二、建设项目工程分析</w:t>
      </w:r>
    </w:p>
    <w:tbl>
      <w:tblPr>
        <w:tblStyle w:val="18"/>
        <w:tblW w:w="9180"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876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26" w:type="dxa"/>
            <w:noWrap w:val="0"/>
            <w:vAlign w:val="center"/>
          </w:tcPr>
          <w:p>
            <w:pPr>
              <w:pStyle w:val="15"/>
              <w:keepLines w:val="0"/>
              <w:pageBreakBefore w:val="0"/>
              <w:kinsoku/>
              <w:wordWrap w:val="0"/>
              <w:topLinePunct w:val="0"/>
              <w:bidi w:val="0"/>
              <w:adjustRightInd w:val="0"/>
              <w:snapToGrid w:val="0"/>
              <w:spacing w:before="0" w:beforeAutospacing="0" w:after="0" w:afterAutospacing="0"/>
              <w:jc w:val="center"/>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建设内容</w:t>
            </w:r>
          </w:p>
        </w:tc>
        <w:tc>
          <w:tcPr>
            <w:tcW w:w="8754" w:type="dxa"/>
            <w:noWrap w:val="0"/>
            <w:vAlign w:val="top"/>
          </w:tcPr>
          <w:p>
            <w:pPr>
              <w:keepNext w:val="0"/>
              <w:keepLines w:val="0"/>
              <w:pageBreakBefore w:val="0"/>
              <w:kinsoku/>
              <w:wordWrap w:val="0"/>
              <w:overflowPunct/>
              <w:topLinePunct w:val="0"/>
              <w:autoSpaceDE/>
              <w:autoSpaceDN/>
              <w:bidi w:val="0"/>
              <w:adjustRightInd/>
              <w:snapToGrid/>
              <w:spacing w:line="500" w:lineRule="exact"/>
              <w:ind w:right="0"/>
              <w:jc w:val="both"/>
              <w:textAlignment w:val="auto"/>
              <w:rPr>
                <w:rFonts w:hint="default" w:ascii="Times New Roman" w:hAnsi="Times New Roman" w:eastAsia="宋体" w:cs="宋体"/>
                <w:b/>
                <w:bCs/>
                <w:color w:val="000000" w:themeColor="text1"/>
                <w:sz w:val="24"/>
                <w:szCs w:val="24"/>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b/>
                <w:bCs/>
                <w:color w:val="000000" w:themeColor="text1"/>
                <w:sz w:val="24"/>
                <w:szCs w:val="24"/>
                <w:lang w:val="en-US" w:eastAsia="zh-CN"/>
                <w14:textFill>
                  <w14:solidFill>
                    <w14:schemeClr w14:val="tx1"/>
                  </w14:solidFill>
                </w14:textFill>
              </w:rPr>
              <w:t>1</w:t>
            </w:r>
            <w:r>
              <w:rPr>
                <w:rFonts w:hint="eastAsia" w:ascii="Times New Roman" w:hAnsi="Times New Roman" w:eastAsia="宋体" w:cs="宋体"/>
                <w:b/>
                <w:bCs/>
                <w:color w:val="000000" w:themeColor="text1"/>
                <w:sz w:val="24"/>
                <w:szCs w:val="24"/>
                <w:lang w:val="en-US" w:eastAsia="zh-CN"/>
                <w14:textFill>
                  <w14:solidFill>
                    <w14:schemeClr w14:val="tx1"/>
                  </w14:solidFill>
                </w14:textFill>
              </w:rPr>
              <w:t>项目概况</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危险废物是指在操作、储存、运输、处理和处置不当时会对人体健康或环境带来重大威胁的废物，其主要来源于工业生产，随着经济的发展，危险废物产生量日益增多。为防止危险废物对环境及人体健康产生危害，</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河南好源贸环保科技有限公司</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拟投资</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4000</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万元，在</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襄城县先进制造业开发区南区</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建设</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危险废物综合收储项目</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。该项目占地面积</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1600</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m</w:t>
            </w:r>
            <w:r>
              <w:rPr>
                <w:rFonts w:hint="eastAsia" w:ascii="Times New Roman" w:hAnsi="Times New Roman" w:eastAsia="宋体" w:cs="Times New Roman"/>
                <w:b w:val="0"/>
                <w:bCs w:val="0"/>
                <w:color w:val="000000" w:themeColor="text1"/>
                <w:sz w:val="24"/>
                <w:szCs w:val="24"/>
                <w:highlight w:val="none"/>
                <w:u w:val="none"/>
                <w:vertAlign w:val="superscript"/>
                <w:lang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，主要为解决</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许昌市及周边</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小微企业危废转移不及时、处置去向难、费用高和危险废物降级梯度使用等问题，结合</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许昌市</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实际情况，项目计划收集的危险废物主要涉及</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废铅酸蓄电池、废矿物油、HW17表面处理物、HW49其他废物、HW50废催化剂</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，年可收集、贮存、</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转运6万吨</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危险废物。本项目仅对危险废物进行收集、暂存，</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运输委托有危废运输资质的单位进行</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，不对危险废物进行后续处置加工。</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eastAsia="宋体" w:cs="宋体"/>
                <w:color w:val="000000" w:themeColor="text1"/>
                <w:sz w:val="24"/>
                <w:szCs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根据《中华人民共和国环境保护法》、《中华人民共和国环境影响评价法》、国务院《建设项目环境保护管理条例》中有关规定，本项目应开展环境影响评价工作。依据《建设项目环境影响评价分类管理名录》（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2021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年版）规定，“四十七、生态保护和环境治理业</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危险废物（不含医疗废物）利用及处置”，“危险废物利用及处置（产生单位内部回收再利用的除外；单纯收集、贮存的除外）”应编制报告书，“其他”应编制报告表，本项目为危险废物单纯收集、贮存项目，应编制环境影响报告表</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color w:val="000000" w:themeColor="text1"/>
                <w:sz w:val="24"/>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受建设单位委托，我公司承担了本项目的环境影响评价工作。我公司收到委托后，经过对现场调查和查阅有关资料，按照环境影响评价相关技术导则的规定，本着</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科学、公正、客观</w:t>
            </w:r>
            <w:r>
              <w:rPr>
                <w:rFonts w:hint="default"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的态度编制完成本项目的环境影响报告表</w:t>
            </w:r>
            <w:r>
              <w:rPr>
                <w:rFonts w:hint="eastAsia" w:ascii="Times New Roman" w:hAnsi="Times New Roman"/>
                <w:color w:val="000000" w:themeColor="text1"/>
                <w:sz w:val="24"/>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both"/>
              <w:textAlignment w:val="auto"/>
              <w:rPr>
                <w:rFonts w:ascii="Times New Roman" w:hAnsi="Times New Roman" w:eastAsia="黑体"/>
                <w:color w:val="000000" w:themeColor="text1"/>
                <w:sz w:val="24"/>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2.2</w:t>
            </w:r>
            <w:r>
              <w:rPr>
                <w:rFonts w:hint="eastAsia"/>
                <w:b/>
                <w:bCs/>
                <w:color w:val="000000" w:themeColor="text1"/>
                <w:sz w:val="24"/>
                <w:lang w:val="en-US" w:eastAsia="zh-CN"/>
                <w14:textFill>
                  <w14:solidFill>
                    <w14:schemeClr w14:val="tx1"/>
                  </w14:solidFill>
                </w14:textFill>
              </w:rPr>
              <w:t>项目租赁车间可行性分析</w:t>
            </w:r>
          </w:p>
          <w:p>
            <w:pPr>
              <w:keepNext w:val="0"/>
              <w:keepLines w:val="0"/>
              <w:pageBreakBefore w:val="0"/>
              <w:widowControl w:val="0"/>
              <w:kinsoku/>
              <w:wordWrap w:val="0"/>
              <w:overflowPunct/>
              <w:topLinePunct w:val="0"/>
              <w:autoSpaceDE/>
              <w:autoSpaceDN/>
              <w:bidi w:val="0"/>
              <w:adjustRightInd w:val="0"/>
              <w:snapToGrid w:val="0"/>
              <w:spacing w:line="360" w:lineRule="auto"/>
              <w:ind w:firstLine="480" w:firstLineChars="200"/>
              <w:textAlignment w:val="auto"/>
              <w:rPr>
                <w:rFonts w:hint="eastAsia"/>
                <w:bCs/>
                <w:color w:val="000000" w:themeColor="text1"/>
                <w:sz w:val="24"/>
                <w:szCs w:val="24"/>
                <w:u w:val="single"/>
                <w:lang w:val="en-US" w:eastAsia="zh-CN"/>
                <w14:textFill>
                  <w14:solidFill>
                    <w14:schemeClr w14:val="tx1"/>
                  </w14:solidFill>
                </w14:textFill>
              </w:rPr>
            </w:pPr>
            <w:r>
              <w:rPr>
                <w:rFonts w:hint="eastAsia" w:ascii="Times New Roman" w:hAnsi="Times New Roman"/>
                <w:bCs/>
                <w:color w:val="000000" w:themeColor="text1"/>
                <w:sz w:val="24"/>
                <w:szCs w:val="24"/>
                <w:u w:val="single"/>
                <w:lang w:val="en-US" w:eastAsia="zh-CN"/>
                <w14:textFill>
                  <w14:solidFill>
                    <w14:schemeClr w14:val="tx1"/>
                  </w14:solidFill>
                </w14:textFill>
              </w:rPr>
              <w:t>本</w:t>
            </w:r>
            <w:r>
              <w:rPr>
                <w:rFonts w:hint="eastAsia"/>
                <w:bCs/>
                <w:color w:val="000000" w:themeColor="text1"/>
                <w:sz w:val="24"/>
                <w:szCs w:val="24"/>
                <w:u w:val="single"/>
                <w:lang w:val="en-US" w:eastAsia="zh-CN"/>
                <w14:textFill>
                  <w14:solidFill>
                    <w14:schemeClr w14:val="tx1"/>
                  </w14:solidFill>
                </w14:textFill>
              </w:rPr>
              <w:t>项目选址位于</w:t>
            </w:r>
            <w:r>
              <w:rPr>
                <w:rFonts w:hint="eastAsia" w:ascii="Times New Roman" w:hAnsi="Times New Roman"/>
                <w:bCs/>
                <w:color w:val="000000" w:themeColor="text1"/>
                <w:sz w:val="24"/>
                <w:szCs w:val="24"/>
                <w:u w:val="single"/>
                <w:lang w:val="en-US" w:eastAsia="zh-CN"/>
                <w14:textFill>
                  <w14:solidFill>
                    <w14:schemeClr w14:val="tx1"/>
                  </w14:solidFill>
                </w14:textFill>
              </w:rPr>
              <w:t>黄洋铜业原2号厂房</w:t>
            </w:r>
            <w:r>
              <w:rPr>
                <w:rFonts w:hint="eastAsia"/>
                <w:bCs/>
                <w:color w:val="000000" w:themeColor="text1"/>
                <w:sz w:val="24"/>
                <w:szCs w:val="24"/>
                <w:u w:val="single"/>
                <w:lang w:val="en-US" w:eastAsia="zh-CN"/>
                <w14:textFill>
                  <w14:solidFill>
                    <w14:schemeClr w14:val="tx1"/>
                  </w14:solidFill>
                </w14:textFill>
              </w:rPr>
              <w:t>中的北侧区域，该地块的土地使用权人为</w:t>
            </w:r>
            <w:r>
              <w:rPr>
                <w:rFonts w:hint="eastAsia" w:ascii="Times New Roman" w:hAnsi="Times New Roman"/>
                <w:bCs/>
                <w:color w:val="000000" w:themeColor="text1"/>
                <w:sz w:val="24"/>
                <w:szCs w:val="24"/>
                <w:u w:val="single"/>
                <w:lang w:val="en-US" w:eastAsia="zh-CN"/>
                <w14:textFill>
                  <w14:solidFill>
                    <w14:schemeClr w14:val="tx1"/>
                  </w14:solidFill>
                </w14:textFill>
              </w:rPr>
              <w:t>黄洋铜业有限公司</w:t>
            </w:r>
            <w:r>
              <w:rPr>
                <w:rFonts w:hint="eastAsia"/>
                <w:bCs/>
                <w:color w:val="000000" w:themeColor="text1"/>
                <w:sz w:val="24"/>
                <w:szCs w:val="24"/>
                <w:u w:val="single"/>
                <w:lang w:val="en-US" w:eastAsia="zh-CN"/>
                <w14:textFill>
                  <w14:solidFill>
                    <w14:schemeClr w14:val="tx1"/>
                  </w14:solidFill>
                </w14:textFill>
              </w:rPr>
              <w:t>（以下简称黄洋铜业）。</w:t>
            </w:r>
            <w:r>
              <w:rPr>
                <w:rFonts w:hint="eastAsia" w:ascii="Times New Roman" w:hAnsi="Times New Roman"/>
                <w:bCs/>
                <w:color w:val="000000" w:themeColor="text1"/>
                <w:sz w:val="24"/>
                <w:szCs w:val="24"/>
                <w:u w:val="single"/>
                <w:lang w:val="en-US" w:eastAsia="zh-CN"/>
                <w14:textFill>
                  <w14:solidFill>
                    <w14:schemeClr w14:val="tx1"/>
                  </w14:solidFill>
                </w14:textFill>
              </w:rPr>
              <w:t>原2号厂房已整体</w:t>
            </w:r>
            <w:r>
              <w:rPr>
                <w:rFonts w:hint="eastAsia"/>
                <w:bCs/>
                <w:color w:val="000000" w:themeColor="text1"/>
                <w:sz w:val="24"/>
                <w:szCs w:val="24"/>
                <w:u w:val="single"/>
                <w:lang w:val="en-US" w:eastAsia="zh-CN"/>
                <w14:textFill>
                  <w14:solidFill>
                    <w14:schemeClr w14:val="tx1"/>
                  </w14:solidFill>
                </w14:textFill>
              </w:rPr>
              <w:t>租赁给许昌凯瑞斯特润滑科技有限公司（以下简称凯瑞斯特）建设年产30000吨工业润滑油项目，该项目于2022年6月拿到许昌市生态环境局襄城分局的批复（文号为：襄环建审[2022]09号），目前已基本建设完成，尚未投产，凯瑞斯特拟将北侧成品区移至生产车间，腾出该区域不再租赁使用。经三方协商，</w:t>
            </w:r>
            <w:r>
              <w:rPr>
                <w:rFonts w:hint="eastAsia" w:ascii="Times New Roman" w:hAnsi="Times New Roman"/>
                <w:bCs/>
                <w:color w:val="000000" w:themeColor="text1"/>
                <w:sz w:val="24"/>
                <w:szCs w:val="24"/>
                <w:u w:val="single"/>
                <w:lang w:val="en-US" w:eastAsia="zh-CN"/>
                <w14:textFill>
                  <w14:solidFill>
                    <w14:schemeClr w14:val="tx1"/>
                  </w14:solidFill>
                </w14:textFill>
              </w:rPr>
              <w:t>黄洋铜业</w:t>
            </w:r>
            <w:r>
              <w:rPr>
                <w:rFonts w:hint="eastAsia"/>
                <w:bCs/>
                <w:color w:val="000000" w:themeColor="text1"/>
                <w:sz w:val="24"/>
                <w:szCs w:val="24"/>
                <w:u w:val="single"/>
                <w:lang w:val="en-US" w:eastAsia="zh-CN"/>
                <w14:textFill>
                  <w14:solidFill>
                    <w14:schemeClr w14:val="tx1"/>
                  </w14:solidFill>
                </w14:textFill>
              </w:rPr>
              <w:t>将该区域重新出租给河南好源贸环保科技有限公司建设危险废物综合收储项目（本项目）。</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cs="宋体"/>
                <w:color w:val="000000" w:themeColor="text1"/>
                <w:kern w:val="0"/>
                <w:sz w:val="24"/>
                <w:szCs w:val="24"/>
                <w:lang w:val="en-US" w:eastAsia="zh-CN" w:bidi="ar"/>
                <w14:textFill>
                  <w14:solidFill>
                    <w14:schemeClr w14:val="tx1"/>
                  </w14:solidFill>
                </w14:textFill>
              </w:rPr>
            </w:pPr>
            <w:r>
              <w:rPr>
                <w:rFonts w:hint="eastAsia" w:cs="宋体"/>
                <w:color w:val="000000" w:themeColor="text1"/>
                <w:kern w:val="0"/>
                <w:sz w:val="24"/>
                <w:szCs w:val="24"/>
                <w:lang w:val="en-US" w:eastAsia="zh-CN" w:bidi="ar"/>
                <w14:textFill>
                  <w14:solidFill>
                    <w14:schemeClr w14:val="tx1"/>
                  </w14:solidFill>
                </w14:textFill>
              </w:rPr>
              <w:t>许昌凯瑞斯特润滑科技有限公司拟建的成品区主要存放风险物质包括工业设备润滑油、切/磨削液、乳化油、清洗/脱脂剂、防锈润滑油等，最大储存量约300t/a，风险潜势为Ⅰ，不存在重大危险源。</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eastAsia" w:cs="宋体"/>
                <w:color w:val="000000" w:themeColor="text1"/>
                <w:kern w:val="0"/>
                <w:sz w:val="24"/>
                <w:szCs w:val="24"/>
                <w:lang w:val="en-US" w:eastAsia="zh-CN" w:bidi="ar"/>
                <w14:textFill>
                  <w14:solidFill>
                    <w14:schemeClr w14:val="tx1"/>
                  </w14:solidFill>
                </w14:textFill>
              </w:rPr>
            </w:pPr>
            <w:r>
              <w:rPr>
                <w:rFonts w:hint="eastAsia" w:cs="宋体"/>
                <w:color w:val="000000" w:themeColor="text1"/>
                <w:kern w:val="0"/>
                <w:sz w:val="24"/>
                <w:szCs w:val="24"/>
                <w:lang w:val="en-US" w:eastAsia="zh-CN" w:bidi="ar"/>
                <w14:textFill>
                  <w14:solidFill>
                    <w14:schemeClr w14:val="tx1"/>
                  </w14:solidFill>
                </w14:textFill>
              </w:rPr>
              <w:t>本项目在该车间内储存的风险物质主要为废矿物油、废铅蓄电池中的电解液，最大储存量约121t/a，风险潜势为Ⅰ，不存在重大危险源。</w:t>
            </w:r>
          </w:p>
          <w:p>
            <w:pPr>
              <w:keepNext w:val="0"/>
              <w:keepLines w:val="0"/>
              <w:pageBreakBefore w:val="0"/>
              <w:widowControl/>
              <w:suppressLineNumbers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b w:val="0"/>
                <w:bCs w:val="0"/>
                <w:color w:val="000000" w:themeColor="text1"/>
                <w:sz w:val="24"/>
                <w:lang w:val="en-US" w:eastAsia="zh-CN"/>
                <w14:textFill>
                  <w14:solidFill>
                    <w14:schemeClr w14:val="tx1"/>
                  </w14:solidFill>
                </w14:textFill>
              </w:rPr>
            </w:pPr>
            <w:r>
              <w:rPr>
                <w:rFonts w:hint="eastAsia"/>
                <w:b w:val="0"/>
                <w:bCs w:val="0"/>
                <w:color w:val="000000" w:themeColor="text1"/>
                <w:sz w:val="24"/>
                <w:lang w:val="en-US" w:eastAsia="zh-CN"/>
                <w14:textFill>
                  <w14:solidFill>
                    <w14:schemeClr w14:val="tx1"/>
                  </w14:solidFill>
                </w14:textFill>
              </w:rPr>
              <w:t>综上，从环境风险角度，本项目建设后，该区域环境风险等级不会发生较大变化。本项目租赁该闲置车间进行建设是可行的。</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both"/>
              <w:textAlignment w:val="auto"/>
              <w:rPr>
                <w:rFonts w:ascii="Times New Roman" w:hAnsi="Times New Roman" w:eastAsia="黑体"/>
                <w:color w:val="000000" w:themeColor="text1"/>
                <w:sz w:val="24"/>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2.</w:t>
            </w:r>
            <w:r>
              <w:rPr>
                <w:rFonts w:hint="eastAsia"/>
                <w:b/>
                <w:bCs/>
                <w:color w:val="000000" w:themeColor="text1"/>
                <w:sz w:val="24"/>
                <w:lang w:val="en-US" w:eastAsia="zh-CN"/>
                <w14:textFill>
                  <w14:solidFill>
                    <w14:schemeClr w14:val="tx1"/>
                  </w14:solidFill>
                </w14:textFill>
              </w:rPr>
              <w:t>3</w:t>
            </w:r>
            <w:r>
              <w:rPr>
                <w:rFonts w:hint="eastAsia" w:ascii="Times New Roman" w:hAnsi="Times New Roman"/>
                <w:b/>
                <w:bCs/>
                <w:color w:val="000000" w:themeColor="text1"/>
                <w:sz w:val="24"/>
                <w:lang w:val="en-US" w:eastAsia="zh-CN"/>
                <w14:textFill>
                  <w14:solidFill>
                    <w14:schemeClr w14:val="tx1"/>
                  </w14:solidFill>
                </w14:textFill>
              </w:rPr>
              <w:t>工程组成</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jc w:val="both"/>
              <w:textAlignment w:val="auto"/>
              <w:outlineLvl w:val="2"/>
              <w:rPr>
                <w:rFonts w:hint="eastAsia" w:ascii="Times New Roman" w:hAnsi="Times New Roman" w:eastAsia="宋体" w:cs="宋体"/>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本项目仅对租赁的厂房进行改造，建设1座1600m</w:t>
            </w:r>
            <w:r>
              <w:rPr>
                <w:rFonts w:hint="default" w:ascii="Times New Roman" w:hAnsi="Times New Roman" w:eastAsia="宋体" w:cs="Times New Roman"/>
                <w:color w:val="000000" w:themeColor="text1"/>
                <w:sz w:val="24"/>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4"/>
                <w:lang w:val="en-US" w:eastAsia="zh-CN"/>
                <w14:textFill>
                  <w14:solidFill>
                    <w14:schemeClr w14:val="tx1"/>
                  </w14:solidFill>
                </w14:textFill>
              </w:rPr>
              <w:t>的危废暂存车间</w:t>
            </w:r>
            <w:r>
              <w:rPr>
                <w:rFonts w:hint="eastAsia" w:ascii="Times New Roman" w:hAnsi="Times New Roman" w:eastAsia="宋体" w:cs="宋体"/>
                <w:color w:val="000000" w:themeColor="text1"/>
                <w:sz w:val="24"/>
                <w:lang w:val="en-US" w:eastAsia="zh-CN"/>
                <w14:textFill>
                  <w14:solidFill>
                    <w14:schemeClr w14:val="tx1"/>
                  </w14:solidFill>
                </w14:textFill>
              </w:rPr>
              <w:t>，并配套收集、运输系统，建设内容主要包括主体工程、辅助工程、公用工程和环保工程。本项目组成及主要建设内容见下表。</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表2-1  项目组成一览表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42"/>
              <w:gridCol w:w="1124"/>
              <w:gridCol w:w="5335"/>
              <w:gridCol w:w="14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86" w:hRule="atLeast"/>
              </w:trPr>
              <w:tc>
                <w:tcPr>
                  <w:tcW w:w="64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w:t>
                  </w: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项目组成</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建设内容</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主体工程</w:t>
                  </w: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生产车间</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占地面积1600m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，危废按类别采取分区存放，包括废铅蓄电池贮存区，废矿物油贮存区，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表面处理废物贮存区，</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他</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危废贮存区</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，废催化剂贮存区</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租赁</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厂房，按照《危险废物贮存污染控制标准》（</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GB18591-2023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）的规范要求进行改造</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辅助工程</w:t>
                  </w: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车辆通道</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位于厂区中间，供车辆出入，周转使用</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办公区</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办公休息室40m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2</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地磅</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用于进出货物车辆称</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重</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公用工程</w:t>
                  </w: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供电</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集聚区统一供电，厂区设置变压器</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供水</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市政供水</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排水</w:t>
                  </w:r>
                </w:p>
              </w:tc>
              <w:tc>
                <w:tcPr>
                  <w:tcW w:w="5335" w:type="dxa"/>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项目无生产废水外排，采取雨污分流，生活污水经化粪池处理后综合利用</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环保工程</w:t>
                  </w: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废水</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项目无生产废水外排，采取雨污分流，生活污水经化粪池处理后综合利用</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依托现有</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废气</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有机废气：贮存区在车间二次密闭，废气负压收集后经一套活性炭吸附+</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催化燃烧</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装置处理后通过15m高排气筒排放</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DA001</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酸雾废气：废铅蓄电池贮存区在车间内二次密闭，废气负压收集后经</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碱液</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喷淋塔处理后通过15m高排气筒排放</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DA002</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噪声</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厂房隔声、设备减振、消声及距离衰减，同时加强设备维护等措施</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固废</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垃圾箱若干</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危险废物暂存间</w:t>
                  </w:r>
                  <w:r>
                    <w:rPr>
                      <w:rFonts w:hint="eastAsia" w:cs="Times New Roman"/>
                      <w:color w:val="000000" w:themeColor="text1"/>
                      <w:sz w:val="21"/>
                      <w:szCs w:val="21"/>
                      <w:u w:val="singl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z w:val="21"/>
                      <w:szCs w:val="21"/>
                      <w:u w:val="single"/>
                      <w:vertAlign w:val="baseline"/>
                      <w:lang w:val="en-US" w:eastAsia="zh-CN"/>
                      <w14:textFill>
                        <w14:solidFill>
                          <w14:schemeClr w14:val="tx1"/>
                        </w14:solidFill>
                      </w14:textFill>
                    </w:rPr>
                    <w:t>0m</w:t>
                  </w:r>
                  <w:r>
                    <w:rPr>
                      <w:rFonts w:hint="default" w:ascii="Times New Roman" w:hAnsi="Times New Roman" w:eastAsia="宋体" w:cs="Times New Roman"/>
                      <w:color w:val="000000" w:themeColor="text1"/>
                      <w:sz w:val="21"/>
                      <w:szCs w:val="21"/>
                      <w:u w:val="single"/>
                      <w:vertAlign w:val="superscript"/>
                      <w:lang w:val="en-US" w:eastAsia="zh-CN"/>
                      <w14:textFill>
                        <w14:solidFill>
                          <w14:schemeClr w14:val="tx1"/>
                        </w14:solidFill>
                      </w14:textFill>
                    </w:rPr>
                    <w:t>2</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地面防渗</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地面硬化+地面防渗</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42"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12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应急措施</w:t>
                  </w:r>
                </w:p>
              </w:tc>
              <w:tc>
                <w:tcPr>
                  <w:tcW w:w="53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废矿物油储罐区设置围堰，规格为10m×10m，高度0.6m；废电池破损泄露的电解液经仓库四周设置的导流沟；设置一座100m</w:t>
                  </w:r>
                  <w:r>
                    <w:rPr>
                      <w:rFonts w:hint="default" w:ascii="Times New Roman" w:hAnsi="Times New Roman" w:eastAsia="宋体" w:cs="Times New Roman"/>
                      <w:color w:val="000000" w:themeColor="text1"/>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应急事故池及相应的应急物资、灭火器等设施。</w:t>
                  </w:r>
                </w:p>
              </w:tc>
              <w:tc>
                <w:tcPr>
                  <w:tcW w:w="14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新建</w:t>
                  </w:r>
                </w:p>
              </w:tc>
            </w:tr>
          </w:tbl>
          <w:p>
            <w:pPr>
              <w:keepNext w:val="0"/>
              <w:keepLines w:val="0"/>
              <w:pageBreakBefore w:val="0"/>
              <w:widowControl/>
              <w:kinsoku/>
              <w:wordWrap w:val="0"/>
              <w:overflowPunct/>
              <w:topLinePunct w:val="0"/>
              <w:autoSpaceDE/>
              <w:autoSpaceDN/>
              <w:bidi w:val="0"/>
              <w:adjustRightInd/>
              <w:snapToGrid/>
              <w:spacing w:line="500" w:lineRule="exact"/>
              <w:jc w:val="both"/>
              <w:textAlignment w:val="auto"/>
              <w:outlineLvl w:val="2"/>
              <w:rPr>
                <w:rFonts w:ascii="Times New Roman" w:hAnsi="Times New Roman" w:eastAsia="黑体"/>
                <w:color w:val="000000" w:themeColor="text1"/>
                <w:sz w:val="24"/>
                <w14:textFill>
                  <w14:solidFill>
                    <w14:schemeClr w14:val="tx1"/>
                  </w14:solidFill>
                </w14:textFill>
              </w:rPr>
            </w:pPr>
            <w:r>
              <w:rPr>
                <w:rFonts w:hint="eastAsia" w:ascii="Times New Roman" w:hAnsi="Times New Roman" w:eastAsia="宋体" w:cs="Times New Roman"/>
                <w:b/>
                <w:bCs/>
                <w:color w:val="000000" w:themeColor="text1"/>
                <w:sz w:val="24"/>
                <w:lang w:val="en-US" w:eastAsia="zh-CN"/>
                <w14:textFill>
                  <w14:solidFill>
                    <w14:schemeClr w14:val="tx1"/>
                  </w14:solidFill>
                </w14:textFill>
              </w:rPr>
              <w:t>2.</w:t>
            </w:r>
            <w:r>
              <w:rPr>
                <w:rFonts w:hint="eastAsia" w:cs="Times New Roman"/>
                <w:b/>
                <w:bCs/>
                <w:color w:val="000000" w:themeColor="text1"/>
                <w:sz w:val="24"/>
                <w:lang w:val="en-US" w:eastAsia="zh-CN"/>
                <w14:textFill>
                  <w14:solidFill>
                    <w14:schemeClr w14:val="tx1"/>
                  </w14:solidFill>
                </w14:textFill>
              </w:rPr>
              <w:t>4</w:t>
            </w:r>
            <w:r>
              <w:rPr>
                <w:rFonts w:hint="default" w:ascii="Times New Roman" w:hAnsi="Times New Roman" w:eastAsia="宋体" w:cs="Times New Roman"/>
                <w:b/>
                <w:bCs/>
                <w:color w:val="000000" w:themeColor="text1"/>
                <w:sz w:val="24"/>
                <w:lang w:val="en-US" w:eastAsia="zh-CN"/>
                <w14:textFill>
                  <w14:solidFill>
                    <w14:schemeClr w14:val="tx1"/>
                  </w14:solidFill>
                </w14:textFill>
              </w:rPr>
              <w:t>危险废物收集</w:t>
            </w:r>
            <w:r>
              <w:rPr>
                <w:rFonts w:hint="eastAsia" w:ascii="Times New Roman" w:hAnsi="Times New Roman" w:eastAsia="宋体" w:cs="Times New Roman"/>
                <w:b/>
                <w:bCs/>
                <w:color w:val="000000" w:themeColor="text1"/>
                <w:sz w:val="24"/>
                <w:lang w:val="en-US" w:eastAsia="zh-CN"/>
                <w14:textFill>
                  <w14:solidFill>
                    <w14:schemeClr w14:val="tx1"/>
                  </w14:solidFill>
                </w14:textFill>
              </w:rPr>
              <w:t>范围及类别</w:t>
            </w:r>
          </w:p>
          <w:p>
            <w:pPr>
              <w:keepNext w:val="0"/>
              <w:keepLines w:val="0"/>
              <w:pageBreakBefore w:val="0"/>
              <w:widowControl/>
              <w:suppressLineNumbers w:val="0"/>
              <w:kinsoku/>
              <w:wordWrap w:val="0"/>
              <w:overflowPunct/>
              <w:topLinePunct w:val="0"/>
              <w:autoSpaceDE/>
              <w:autoSpaceDN/>
              <w:bidi w:val="0"/>
              <w:adjustRightInd/>
              <w:snapToGrid/>
              <w:spacing w:line="520" w:lineRule="atLeast"/>
              <w:ind w:firstLine="480" w:firstLineChars="200"/>
              <w:jc w:val="left"/>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企业拟在襄城县先进制造业开发区南区黄洋工业区建设危险废物综合收储项目，本项目危险废物收集范围主要为许昌市及其周边工业企业及非工业源企业等危险废物产生单位。根据企业调查，项目建成后预计形成年收集、贮存、转运危险废物6万吨的经营规模。本项目只负责收集、贮存、转运，所有危险废物种类均不涉及后续深加工处理。本项目产品方案一览表见下表2-2、项目废物具体代码见下表2-3。</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表2-2  本项目产品方案一览表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2"/>
              <w:gridCol w:w="3945"/>
              <w:gridCol w:w="1035"/>
              <w:gridCol w:w="1860"/>
              <w:gridCol w:w="111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394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危废类别</w:t>
                  </w:r>
                </w:p>
              </w:tc>
              <w:tc>
                <w:tcPr>
                  <w:tcW w:w="10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规模</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（万t/a）</w:t>
                  </w:r>
                </w:p>
              </w:tc>
              <w:tc>
                <w:tcPr>
                  <w:tcW w:w="1860"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形态</w:t>
                  </w:r>
                </w:p>
              </w:tc>
              <w:tc>
                <w:tcPr>
                  <w:tcW w:w="111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贮存方式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394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HW31 900-052-31 </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废铅蓄电池</w:t>
                  </w:r>
                </w:p>
              </w:tc>
              <w:tc>
                <w:tcPr>
                  <w:tcW w:w="10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4.8</w:t>
                  </w:r>
                </w:p>
              </w:tc>
              <w:tc>
                <w:tcPr>
                  <w:tcW w:w="1860"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固态</w:t>
                  </w:r>
                </w:p>
              </w:tc>
              <w:tc>
                <w:tcPr>
                  <w:tcW w:w="111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箱装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394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HW08 废矿物油与含矿物油废物</w:t>
                  </w:r>
                </w:p>
              </w:tc>
              <w:tc>
                <w:tcPr>
                  <w:tcW w:w="10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860"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液态</w:t>
                  </w:r>
                </w:p>
              </w:tc>
              <w:tc>
                <w:tcPr>
                  <w:tcW w:w="111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394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HW17 表面处理废物</w:t>
                  </w:r>
                </w:p>
              </w:tc>
              <w:tc>
                <w:tcPr>
                  <w:tcW w:w="1035"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0.2</w:t>
                  </w:r>
                </w:p>
              </w:tc>
              <w:tc>
                <w:tcPr>
                  <w:tcW w:w="1860"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固态/半固态/液态</w:t>
                  </w:r>
                </w:p>
              </w:tc>
              <w:tc>
                <w:tcPr>
                  <w:tcW w:w="111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袋装/桶装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394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HW49 其他废物</w:t>
                  </w:r>
                </w:p>
              </w:tc>
              <w:tc>
                <w:tcPr>
                  <w:tcW w:w="1035"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1860"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固态/液态</w:t>
                  </w:r>
                </w:p>
              </w:tc>
              <w:tc>
                <w:tcPr>
                  <w:tcW w:w="111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袋装/桶装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394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HW50 废催化剂</w:t>
                  </w:r>
                </w:p>
              </w:tc>
              <w:tc>
                <w:tcPr>
                  <w:tcW w:w="1035"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1860"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固态</w:t>
                  </w:r>
                </w:p>
              </w:tc>
              <w:tc>
                <w:tcPr>
                  <w:tcW w:w="111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袋装</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27" w:type="dxa"/>
                  <w:gridSpan w:val="2"/>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总计</w:t>
                  </w:r>
                </w:p>
              </w:tc>
              <w:tc>
                <w:tcPr>
                  <w:tcW w:w="10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1860"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c>
                <w:tcPr>
                  <w:tcW w:w="111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w:t>
                  </w:r>
                </w:p>
              </w:tc>
            </w:tr>
          </w:tbl>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表2-3  本项目拟暂存危废代码一览表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6"/>
              <w:gridCol w:w="1287"/>
              <w:gridCol w:w="750"/>
              <w:gridCol w:w="949"/>
              <w:gridCol w:w="3774"/>
              <w:gridCol w:w="638"/>
              <w:gridCol w:w="715"/>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序号</w:t>
                  </w:r>
                </w:p>
              </w:tc>
              <w:tc>
                <w:tcPr>
                  <w:tcW w:w="13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危废类别</w:t>
                  </w:r>
                </w:p>
              </w:tc>
              <w:tc>
                <w:tcPr>
                  <w:tcW w:w="773"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行业来源</w:t>
                  </w:r>
                </w:p>
              </w:tc>
              <w:tc>
                <w:tcPr>
                  <w:tcW w:w="9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1"/>
                      <w:szCs w:val="21"/>
                      <w:vertAlign w:val="baseline"/>
                      <w:lang w:val="en-US" w:eastAsia="zh-CN"/>
                      <w14:textFill>
                        <w14:solidFill>
                          <w14:schemeClr w14:val="tx1"/>
                        </w14:solidFill>
                      </w14:textFill>
                    </w:rPr>
                    <w:t>废物代码</w:t>
                  </w:r>
                </w:p>
              </w:tc>
              <w:tc>
                <w:tcPr>
                  <w:tcW w:w="368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1"/>
                      <w:szCs w:val="21"/>
                      <w:vertAlign w:val="baseline"/>
                      <w:lang w:val="en-US" w:eastAsia="zh-CN"/>
                      <w14:textFill>
                        <w14:solidFill>
                          <w14:schemeClr w14:val="tx1"/>
                        </w14:solidFill>
                      </w14:textFill>
                    </w:rPr>
                    <w:t>危险废物</w:t>
                  </w:r>
                </w:p>
              </w:tc>
              <w:tc>
                <w:tcPr>
                  <w:tcW w:w="653"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1"/>
                      <w:szCs w:val="21"/>
                      <w:vertAlign w:val="baseline"/>
                      <w:lang w:val="en-US" w:eastAsia="zh-CN"/>
                      <w14:textFill>
                        <w14:solidFill>
                          <w14:schemeClr w14:val="tx1"/>
                        </w14:solidFill>
                      </w14:textFill>
                    </w:rPr>
                    <w:t>危险特性</w:t>
                  </w:r>
                </w:p>
              </w:tc>
              <w:tc>
                <w:tcPr>
                  <w:tcW w:w="735"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宋体"/>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宋体"/>
                      <w:color w:val="000000" w:themeColor="text1"/>
                      <w:sz w:val="21"/>
                      <w:szCs w:val="21"/>
                      <w:vertAlign w:val="baseline"/>
                      <w:lang w:val="en-US" w:eastAsia="zh-CN"/>
                      <w14:textFill>
                        <w14:solidFill>
                          <w14:schemeClr w14:val="tx1"/>
                        </w14:solidFill>
                      </w14:textFill>
                    </w:rPr>
                    <w:t>形态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p>
              </w:tc>
              <w:tc>
                <w:tcPr>
                  <w:tcW w:w="1334"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14:textFill>
                        <w14:solidFill>
                          <w14:schemeClr w14:val="tx1"/>
                        </w14:solidFill>
                      </w14:textFill>
                    </w:rPr>
                    <w:t>HW08</w:t>
                  </w:r>
                  <w:r>
                    <w:rPr>
                      <w:rFonts w:hint="eastAsia"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 xml:space="preserve"> </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14:textFill>
                        <w14:solidFill>
                          <w14:schemeClr w14:val="tx1"/>
                        </w14:solidFill>
                      </w14:textFill>
                    </w:rPr>
                    <w:t>废矿物油与含矿物油废物</w:t>
                  </w:r>
                </w:p>
              </w:tc>
              <w:tc>
                <w:tcPr>
                  <w:tcW w:w="773"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非特定行业</w:t>
                  </w: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900-214-08</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14:textFill>
                        <w14:solidFill>
                          <w14:schemeClr w14:val="tx1"/>
                        </w14:solidFill>
                      </w14:textFill>
                    </w:rPr>
                    <w:t>车辆、轮船及其它机械维修过程中产生的废发动机油、制动器油、自动变速器油、齿轮油等废润滑油</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r>
                    <w:rPr>
                      <w:rFonts w:hint="eastAsia" w:ascii="Times New Roman" w:hAnsi="Times New Roman"/>
                      <w:b w:val="0"/>
                      <w:bCs w:val="0"/>
                      <w:color w:val="000000" w:themeColor="text1"/>
                      <w:sz w:val="21"/>
                      <w:szCs w:val="21"/>
                      <w:highlight w:val="none"/>
                      <w:u w:val="none"/>
                      <w:lang w:eastAsia="zh-CN"/>
                      <w14:textFill>
                        <w14:solidFill>
                          <w14:schemeClr w14:val="tx1"/>
                        </w14:solidFill>
                      </w14:textFill>
                    </w:rPr>
                    <w:t>，</w:t>
                  </w:r>
                  <w:r>
                    <w:rPr>
                      <w:rFonts w:ascii="Times New Roman" w:hAnsi="Times New Roman"/>
                      <w:b w:val="0"/>
                      <w:bCs w:val="0"/>
                      <w:color w:val="000000" w:themeColor="text1"/>
                      <w:sz w:val="21"/>
                      <w:szCs w:val="21"/>
                      <w:highlight w:val="none"/>
                      <w:u w:val="none"/>
                      <w14:textFill>
                        <w14:solidFill>
                          <w14:schemeClr w14:val="tx1"/>
                        </w14:solidFill>
                      </w14:textFill>
                    </w:rPr>
                    <w:t>I</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2</w:t>
                  </w:r>
                </w:p>
              </w:tc>
              <w:tc>
                <w:tcPr>
                  <w:tcW w:w="133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73"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900-217-08</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eastAsia="宋体" w:cs="Times New Roman"/>
                      <w:b w:val="0"/>
                      <w:bCs w:val="0"/>
                      <w:color w:val="000000" w:themeColor="text1"/>
                      <w:sz w:val="21"/>
                      <w:szCs w:val="21"/>
                      <w:highlight w:val="none"/>
                      <w:u w:val="none"/>
                      <w14:textFill>
                        <w14:solidFill>
                          <w14:schemeClr w14:val="tx1"/>
                        </w14:solidFill>
                      </w14:textFill>
                    </w:rPr>
                    <w:t>使用工业齿轮油进行机械设备润滑过程中产生的废润滑油</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r>
                    <w:rPr>
                      <w:rFonts w:hint="eastAsia" w:ascii="Times New Roman" w:hAnsi="Times New Roman"/>
                      <w:b w:val="0"/>
                      <w:bCs w:val="0"/>
                      <w:color w:val="000000" w:themeColor="text1"/>
                      <w:sz w:val="21"/>
                      <w:szCs w:val="21"/>
                      <w:highlight w:val="none"/>
                      <w:u w:val="none"/>
                      <w:lang w:eastAsia="zh-CN"/>
                      <w14:textFill>
                        <w14:solidFill>
                          <w14:schemeClr w14:val="tx1"/>
                        </w14:solidFill>
                      </w14:textFill>
                    </w:rPr>
                    <w:t>，</w:t>
                  </w:r>
                  <w:r>
                    <w:rPr>
                      <w:rFonts w:ascii="Times New Roman" w:hAnsi="Times New Roman"/>
                      <w:b w:val="0"/>
                      <w:bCs w:val="0"/>
                      <w:color w:val="000000" w:themeColor="text1"/>
                      <w:sz w:val="21"/>
                      <w:szCs w:val="21"/>
                      <w:highlight w:val="none"/>
                      <w:u w:val="none"/>
                      <w14:textFill>
                        <w14:solidFill>
                          <w14:schemeClr w14:val="tx1"/>
                        </w14:solidFill>
                      </w14:textFill>
                    </w:rPr>
                    <w:t>I</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3</w:t>
                  </w:r>
                </w:p>
              </w:tc>
              <w:tc>
                <w:tcPr>
                  <w:tcW w:w="133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73"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900-218-08</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eastAsia="宋体" w:cs="Times New Roman"/>
                      <w:b w:val="0"/>
                      <w:bCs w:val="0"/>
                      <w:color w:val="000000" w:themeColor="text1"/>
                      <w:sz w:val="21"/>
                      <w:szCs w:val="21"/>
                      <w:highlight w:val="none"/>
                      <w:u w:val="none"/>
                      <w14:textFill>
                        <w14:solidFill>
                          <w14:schemeClr w14:val="tx1"/>
                        </w14:solidFill>
                      </w14:textFill>
                    </w:rPr>
                    <w:t>液压设备维护、更换和拆解过程中产生的废液压油</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r>
                    <w:rPr>
                      <w:rFonts w:hint="eastAsia" w:ascii="Times New Roman" w:hAnsi="Times New Roman"/>
                      <w:b w:val="0"/>
                      <w:bCs w:val="0"/>
                      <w:color w:val="000000" w:themeColor="text1"/>
                      <w:sz w:val="21"/>
                      <w:szCs w:val="21"/>
                      <w:highlight w:val="none"/>
                      <w:u w:val="none"/>
                      <w:lang w:eastAsia="zh-CN"/>
                      <w14:textFill>
                        <w14:solidFill>
                          <w14:schemeClr w14:val="tx1"/>
                        </w14:solidFill>
                      </w14:textFill>
                    </w:rPr>
                    <w:t>，</w:t>
                  </w:r>
                  <w:r>
                    <w:rPr>
                      <w:rFonts w:ascii="Times New Roman" w:hAnsi="Times New Roman"/>
                      <w:b w:val="0"/>
                      <w:bCs w:val="0"/>
                      <w:color w:val="000000" w:themeColor="text1"/>
                      <w:sz w:val="21"/>
                      <w:szCs w:val="21"/>
                      <w:highlight w:val="none"/>
                      <w:u w:val="none"/>
                      <w14:textFill>
                        <w14:solidFill>
                          <w14:schemeClr w14:val="tx1"/>
                        </w14:solidFill>
                      </w14:textFill>
                    </w:rPr>
                    <w:t>I</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olor w:val="000000" w:themeColor="text1"/>
                      <w:kern w:val="2"/>
                      <w:sz w:val="21"/>
                      <w:szCs w:val="21"/>
                      <w:u w:val="none"/>
                      <w:lang w:val="en-US" w:eastAsia="zh-CN" w:bidi="ar-SA"/>
                      <w14:textFill>
                        <w14:solidFill>
                          <w14:schemeClr w14:val="tx1"/>
                        </w14:solidFill>
                      </w14:textFill>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w:t>
                  </w:r>
                </w:p>
              </w:tc>
              <w:tc>
                <w:tcPr>
                  <w:tcW w:w="133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73"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900-221-08</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eastAsia="宋体" w:cs="Times New Roman"/>
                      <w:b w:val="0"/>
                      <w:bCs w:val="0"/>
                      <w:color w:val="000000" w:themeColor="text1"/>
                      <w:sz w:val="21"/>
                      <w:szCs w:val="21"/>
                      <w:highlight w:val="none"/>
                      <w:u w:val="none"/>
                      <w14:textFill>
                        <w14:solidFill>
                          <w14:schemeClr w14:val="tx1"/>
                        </w14:solidFill>
                      </w14:textFill>
                    </w:rPr>
                    <w:t>废燃料油及燃料油储存过程中产生的油泥</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r>
                    <w:rPr>
                      <w:rFonts w:hint="eastAsia" w:ascii="Times New Roman" w:hAnsi="Times New Roman"/>
                      <w:b w:val="0"/>
                      <w:bCs w:val="0"/>
                      <w:color w:val="000000" w:themeColor="text1"/>
                      <w:sz w:val="21"/>
                      <w:szCs w:val="21"/>
                      <w:highlight w:val="none"/>
                      <w:u w:val="none"/>
                      <w:lang w:eastAsia="zh-CN"/>
                      <w14:textFill>
                        <w14:solidFill>
                          <w14:schemeClr w14:val="tx1"/>
                        </w14:solidFill>
                      </w14:textFill>
                    </w:rPr>
                    <w:t>，</w:t>
                  </w:r>
                  <w:r>
                    <w:rPr>
                      <w:rFonts w:ascii="Times New Roman" w:hAnsi="Times New Roman"/>
                      <w:b w:val="0"/>
                      <w:bCs w:val="0"/>
                      <w:color w:val="000000" w:themeColor="text1"/>
                      <w:sz w:val="21"/>
                      <w:szCs w:val="21"/>
                      <w:highlight w:val="none"/>
                      <w:u w:val="none"/>
                      <w14:textFill>
                        <w14:solidFill>
                          <w14:schemeClr w14:val="tx1"/>
                        </w14:solidFill>
                      </w14:textFill>
                    </w:rPr>
                    <w:t>I</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液态/半固态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w:t>
                  </w:r>
                </w:p>
              </w:tc>
              <w:tc>
                <w:tcPr>
                  <w:tcW w:w="133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73"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900-249-08</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eastAsia="宋体" w:cs="Times New Roman"/>
                      <w:b w:val="0"/>
                      <w:bCs w:val="0"/>
                      <w:color w:val="000000" w:themeColor="text1"/>
                      <w:sz w:val="21"/>
                      <w:szCs w:val="21"/>
                      <w:highlight w:val="none"/>
                      <w:u w:val="none"/>
                      <w14:textFill>
                        <w14:solidFill>
                          <w14:schemeClr w14:val="tx1"/>
                        </w14:solidFill>
                      </w14:textFill>
                    </w:rPr>
                    <w:t>其他生产、销售、使用过程中产生的</w:t>
                  </w:r>
                  <w:r>
                    <w:rPr>
                      <w:rFonts w:hint="eastAsia" w:ascii="Times New Roman" w:hAnsi="Times New Roman" w:eastAsia="宋体" w:cs="Times New Roman"/>
                      <w:b w:val="0"/>
                      <w:bCs w:val="0"/>
                      <w:color w:val="000000" w:themeColor="text1"/>
                      <w:sz w:val="21"/>
                      <w:szCs w:val="21"/>
                      <w:highlight w:val="none"/>
                      <w:u w:val="none"/>
                      <w:lang w:eastAsia="zh-CN"/>
                      <w14:textFill>
                        <w14:solidFill>
                          <w14:schemeClr w14:val="tx1"/>
                        </w14:solidFill>
                      </w14:textFill>
                    </w:rPr>
                    <w:t>废矿物油与含矿物油废物</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r>
                    <w:rPr>
                      <w:rFonts w:hint="eastAsia" w:ascii="Times New Roman" w:hAnsi="Times New Roman"/>
                      <w:b w:val="0"/>
                      <w:bCs w:val="0"/>
                      <w:color w:val="000000" w:themeColor="text1"/>
                      <w:sz w:val="21"/>
                      <w:szCs w:val="21"/>
                      <w:highlight w:val="none"/>
                      <w:u w:val="none"/>
                      <w:lang w:eastAsia="zh-CN"/>
                      <w14:textFill>
                        <w14:solidFill>
                          <w14:schemeClr w14:val="tx1"/>
                        </w14:solidFill>
                      </w14:textFill>
                    </w:rPr>
                    <w:t>，</w:t>
                  </w:r>
                  <w:r>
                    <w:rPr>
                      <w:rFonts w:ascii="Times New Roman" w:hAnsi="Times New Roman"/>
                      <w:b w:val="0"/>
                      <w:bCs w:val="0"/>
                      <w:color w:val="000000" w:themeColor="text1"/>
                      <w:sz w:val="21"/>
                      <w:szCs w:val="21"/>
                      <w:highlight w:val="none"/>
                      <w:u w:val="none"/>
                      <w14:textFill>
                        <w14:solidFill>
                          <w14:schemeClr w14:val="tx1"/>
                        </w14:solidFill>
                      </w14:textFill>
                    </w:rPr>
                    <w:t>I</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液态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6</w:t>
                  </w:r>
                </w:p>
              </w:tc>
              <w:tc>
                <w:tcPr>
                  <w:tcW w:w="13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HW17 表面处理废物</w:t>
                  </w:r>
                </w:p>
              </w:tc>
              <w:tc>
                <w:tcPr>
                  <w:tcW w:w="773"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金属表面处理及热处理加工</w:t>
                  </w: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336-064-17</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金属或塑料表面酸（碱）洗、除油、除锈、洗涤、磷化、出光、化抛工艺产生的废腐蚀液、废洗涤液、废槽液、槽渣和废水处理污泥（不包括：铝、镁材（板）表面酸（碱）洗、粗化、硫酸阳极处理、磷酸化学抛光废水处理污泥，铝电解电容器用铝电极箔化学腐蚀、非硼酸系化成液化成废水处理污泥，铝材挤压加工模具碱洗（煲模）废水处理污泥，碳钢酸洗除锈废水处理污泥）</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eastAsia="宋体" w:cs="Times New Roman"/>
                      <w:b w:val="0"/>
                      <w:bCs w:val="0"/>
                      <w:color w:val="000000" w:themeColor="text1"/>
                      <w:sz w:val="21"/>
                      <w:szCs w:val="21"/>
                      <w:highlight w:val="none"/>
                      <w:u w:val="none"/>
                      <w14:textFill>
                        <w14:solidFill>
                          <w14:schemeClr w14:val="tx1"/>
                        </w14:solidFill>
                      </w14:textFill>
                    </w:rPr>
                    <w:t>T</w:t>
                  </w: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/C</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液态/固态/半固态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7</w:t>
                  </w:r>
                </w:p>
              </w:tc>
              <w:tc>
                <w:tcPr>
                  <w:tcW w:w="13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default" w:ascii="Times New Roman" w:hAnsi="Times New Roman" w:cs="Times New Roman"/>
                      <w:b w:val="0"/>
                      <w:bCs w:val="0"/>
                      <w:color w:val="000000" w:themeColor="text1"/>
                      <w:sz w:val="21"/>
                      <w:szCs w:val="21"/>
                      <w:highlight w:val="none"/>
                      <w:u w:val="none"/>
                      <w:lang w:val="en-US" w:eastAsia="zh-CN"/>
                      <w14:textFill>
                        <w14:solidFill>
                          <w14:schemeClr w14:val="tx1"/>
                        </w14:solidFill>
                      </w14:textFill>
                    </w:rPr>
                    <w:t>HW31 含铅废物</w:t>
                  </w:r>
                </w:p>
              </w:tc>
              <w:tc>
                <w:tcPr>
                  <w:tcW w:w="773"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非特定行业</w:t>
                  </w: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t>900-052-31</w:t>
                  </w:r>
                </w:p>
              </w:tc>
              <w:tc>
                <w:tcPr>
                  <w:tcW w:w="368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t>废铅蓄电池</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eastAsia="宋体" w:cs="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lang w:val="en-US" w:eastAsia="zh-CN"/>
                      <w14:textFill>
                        <w14:solidFill>
                          <w14:schemeClr w14:val="tx1"/>
                        </w14:solidFill>
                      </w14:textFill>
                    </w:rPr>
                    <w:t>T，C</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color w:val="000000" w:themeColor="text1"/>
                      <w:kern w:val="2"/>
                      <w:sz w:val="21"/>
                      <w:szCs w:val="21"/>
                      <w:u w:val="none"/>
                      <w:lang w:val="en-US" w:eastAsia="zh-CN" w:bidi="ar-SA"/>
                      <w14:textFill>
                        <w14:solidFill>
                          <w14:schemeClr w14:val="tx1"/>
                        </w14:solidFill>
                      </w14:textFill>
                    </w:rPr>
                  </w:pPr>
                  <w:r>
                    <w:rPr>
                      <w:rFonts w:hint="eastAsia" w:ascii="Times New Roman" w:hAnsi="Times New Roman"/>
                      <w:color w:val="000000" w:themeColor="text1"/>
                      <w:sz w:val="21"/>
                      <w:szCs w:val="21"/>
                      <w:u w:val="none"/>
                      <w:lang w:val="en-US" w:eastAsia="zh-CN"/>
                      <w14:textFill>
                        <w14:solidFill>
                          <w14:schemeClr w14:val="tx1"/>
                        </w14:solidFill>
                      </w14:textFill>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8</w:t>
                  </w:r>
                </w:p>
              </w:tc>
              <w:tc>
                <w:tcPr>
                  <w:tcW w:w="1334"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HW49</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 xml:space="preserve"> </w:t>
                  </w: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其他废物</w:t>
                  </w: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（不包括900-044-49）</w:t>
                  </w:r>
                </w:p>
              </w:tc>
              <w:tc>
                <w:tcPr>
                  <w:tcW w:w="773"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非特定行业</w:t>
                  </w: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900-039-49</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烟气、VOCs治理过程（不包括餐饮行业油烟治理过程）产生的废活性炭，化学原料和化学制品脱色（不包括有机合成食品添加剂脱色）、除杂、净化过程产生的废活性炭（不包括900-405-06、772-005-18、261-053-29、265-002-29、384-003-29、387-001-29类废物）</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eastAsia="宋体"/>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9</w:t>
                  </w:r>
                </w:p>
              </w:tc>
              <w:tc>
                <w:tcPr>
                  <w:tcW w:w="133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73"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900-041-49</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含有或沾染毒性、感染性危险废物的废弃包装物、容器、过滤吸附介质</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T/In</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eastAsia="宋体"/>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10</w:t>
                  </w:r>
                </w:p>
              </w:tc>
              <w:tc>
                <w:tcPr>
                  <w:tcW w:w="133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73"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900-045-49</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废电路板（包括已拆除或未拆除元器件的废弃电路板），及废电路板拆解过程产生的废弃CPU、显卡、声卡、内存、含电解液的电容器、含金等贵金属的连接件</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eastAsia="宋体"/>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2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1</w:t>
                  </w:r>
                  <w:r>
                    <w:rPr>
                      <w:rFonts w:hint="eastAsia" w:cs="Times New Roman"/>
                      <w:color w:val="000000" w:themeColor="text1"/>
                      <w:sz w:val="21"/>
                      <w:szCs w:val="21"/>
                      <w:vertAlign w:val="baseline"/>
                      <w:lang w:val="en-US" w:eastAsia="zh-CN"/>
                      <w14:textFill>
                        <w14:solidFill>
                          <w14:schemeClr w14:val="tx1"/>
                        </w14:solidFill>
                      </w14:textFill>
                    </w:rPr>
                    <w:t>1</w:t>
                  </w:r>
                </w:p>
              </w:tc>
              <w:tc>
                <w:tcPr>
                  <w:tcW w:w="1334"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773"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p>
              </w:tc>
              <w:tc>
                <w:tcPr>
                  <w:tcW w:w="93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900-999-49</w:t>
                  </w:r>
                </w:p>
              </w:tc>
              <w:tc>
                <w:tcPr>
                  <w:tcW w:w="368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被所有者申报废弃的，或未申报废弃但被非法排放、倾倒、利用、处置的，以及有关部门依法收缴或接收且需要销毁的列入《危险化学品目录》的危险化学品（不含该目录中仅具有“加压气体”物理危险性的危险化学品）</w:t>
                  </w:r>
                </w:p>
              </w:tc>
              <w:tc>
                <w:tcPr>
                  <w:tcW w:w="653"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14:textFill>
                        <w14:solidFill>
                          <w14:schemeClr w14:val="tx1"/>
                        </w14:solidFill>
                      </w14:textFill>
                    </w:rPr>
                    <w:t>T/C/I/R</w:t>
                  </w:r>
                </w:p>
              </w:tc>
              <w:tc>
                <w:tcPr>
                  <w:tcW w:w="73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color w:val="000000" w:themeColor="text1"/>
                      <w:sz w:val="21"/>
                      <w:szCs w:val="21"/>
                      <w:u w:val="single"/>
                      <w:lang w:val="en-US" w:eastAsia="zh-CN"/>
                      <w14:textFill>
                        <w14:solidFill>
                          <w14:schemeClr w14:val="tx1"/>
                        </w14:solidFill>
                      </w14:textFill>
                    </w:rPr>
                    <w:t>液态/固态/半固态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0" w:type="auto"/>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kern w:val="2"/>
                      <w:sz w:val="21"/>
                      <w:szCs w:val="21"/>
                      <w:vertAlign w:val="baseline"/>
                      <w:lang w:val="en-US" w:eastAsia="zh-CN" w:bidi="ar-SA"/>
                      <w14:textFill>
                        <w14:solidFill>
                          <w14:schemeClr w14:val="tx1"/>
                        </w14:solidFill>
                      </w14:textFill>
                    </w:rPr>
                  </w:pPr>
                  <w:r>
                    <w:rPr>
                      <w:rFonts w:hint="eastAsia" w:cs="Times New Roman"/>
                      <w:color w:val="000000" w:themeColor="text1"/>
                      <w:sz w:val="21"/>
                      <w:szCs w:val="21"/>
                      <w:vertAlign w:val="baseline"/>
                      <w:lang w:val="en-US" w:eastAsia="zh-CN"/>
                      <w14:textFill>
                        <w14:solidFill>
                          <w14:schemeClr w14:val="tx1"/>
                        </w14:solidFill>
                      </w14:textFill>
                    </w:rPr>
                    <w:t>12</w:t>
                  </w:r>
                </w:p>
              </w:tc>
              <w:tc>
                <w:tcPr>
                  <w:tcW w:w="1334" w:type="dxa"/>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HW50 废催化剂</w:t>
                  </w:r>
                </w:p>
              </w:tc>
              <w:tc>
                <w:tcPr>
                  <w:tcW w:w="773" w:type="dxa"/>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outlineLvl w:val="2"/>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非特定行业</w:t>
                  </w:r>
                </w:p>
              </w:tc>
              <w:tc>
                <w:tcPr>
                  <w:tcW w:w="0" w:type="auto"/>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900-04</w:t>
                  </w: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9</w:t>
                  </w:r>
                  <w:r>
                    <w:rPr>
                      <w:rFonts w:ascii="Times New Roman" w:hAnsi="Times New Roman"/>
                      <w:b w:val="0"/>
                      <w:bCs w:val="0"/>
                      <w:color w:val="000000" w:themeColor="text1"/>
                      <w:sz w:val="21"/>
                      <w:szCs w:val="21"/>
                      <w:highlight w:val="none"/>
                      <w:u w:val="none"/>
                      <w14:textFill>
                        <w14:solidFill>
                          <w14:schemeClr w14:val="tx1"/>
                        </w14:solidFill>
                      </w14:textFill>
                    </w:rPr>
                    <w:t>-50</w:t>
                  </w:r>
                </w:p>
              </w:tc>
              <w:tc>
                <w:tcPr>
                  <w:tcW w:w="0" w:type="auto"/>
                  <w:noWrap w:val="0"/>
                  <w:vAlign w:val="center"/>
                </w:tcPr>
                <w:p>
                  <w:pPr>
                    <w:keepNext w:val="0"/>
                    <w:keepLines w:val="0"/>
                    <w:pageBreakBefore w:val="0"/>
                    <w:widowControl w:val="0"/>
                    <w:kinsoku/>
                    <w:wordWrap w:val="0"/>
                    <w:overflowPunct/>
                    <w:topLinePunct w:val="0"/>
                    <w:autoSpaceDE/>
                    <w:autoSpaceDN/>
                    <w:bidi w:val="0"/>
                    <w:snapToGrid/>
                    <w:spacing w:line="240" w:lineRule="auto"/>
                    <w:ind w:left="-105" w:leftChars="-50" w:right="-105" w:rightChars="-50"/>
                    <w:jc w:val="center"/>
                    <w:textAlignment w:val="auto"/>
                    <w:rPr>
                      <w:rFonts w:hint="eastAsia" w:ascii="Times New Roman" w:hAnsi="Times New Roman" w:eastAsia="宋体"/>
                      <w:b w:val="0"/>
                      <w:bCs w:val="0"/>
                      <w:color w:val="000000" w:themeColor="text1"/>
                      <w:kern w:val="2"/>
                      <w:sz w:val="21"/>
                      <w:szCs w:val="21"/>
                      <w:highlight w:val="none"/>
                      <w:u w:val="none"/>
                      <w:lang w:val="en-US" w:eastAsia="zh-CN" w:bidi="ar-SA"/>
                      <w14:textFill>
                        <w14:solidFill>
                          <w14:schemeClr w14:val="tx1"/>
                        </w14:solidFill>
                      </w14:textFill>
                    </w:rPr>
                  </w:pPr>
                  <w:r>
                    <w:rPr>
                      <w:rFonts w:hint="eastAsia" w:ascii="Times New Roman" w:hAnsi="Times New Roman"/>
                      <w:b w:val="0"/>
                      <w:bCs w:val="0"/>
                      <w:color w:val="000000" w:themeColor="text1"/>
                      <w:sz w:val="21"/>
                      <w:szCs w:val="21"/>
                      <w:highlight w:val="none"/>
                      <w:u w:val="none"/>
                      <w:lang w:val="en-US" w:eastAsia="zh-CN"/>
                      <w14:textFill>
                        <w14:solidFill>
                          <w14:schemeClr w14:val="tx1"/>
                        </w14:solidFill>
                      </w14:textFill>
                    </w:rPr>
                    <w:t>机动车和非道路移动机械尾气净化废催化剂</w:t>
                  </w:r>
                </w:p>
              </w:tc>
              <w:tc>
                <w:tcPr>
                  <w:tcW w:w="0" w:type="auto"/>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eastAsia" w:ascii="Times New Roman" w:hAnsi="Times New Roman"/>
                      <w:b w:val="0"/>
                      <w:bCs w:val="0"/>
                      <w:color w:val="000000" w:themeColor="text1"/>
                      <w:kern w:val="2"/>
                      <w:sz w:val="21"/>
                      <w:szCs w:val="21"/>
                      <w:highlight w:val="none"/>
                      <w:u w:val="none"/>
                      <w:lang w:val="en-US" w:eastAsia="zh-CN" w:bidi="ar-SA"/>
                      <w14:textFill>
                        <w14:solidFill>
                          <w14:schemeClr w14:val="tx1"/>
                        </w14:solidFill>
                      </w14:textFill>
                    </w:rPr>
                  </w:pPr>
                  <w:r>
                    <w:rPr>
                      <w:rFonts w:ascii="Times New Roman" w:hAnsi="Times New Roman"/>
                      <w:b w:val="0"/>
                      <w:bCs w:val="0"/>
                      <w:color w:val="000000" w:themeColor="text1"/>
                      <w:sz w:val="21"/>
                      <w:szCs w:val="21"/>
                      <w:highlight w:val="none"/>
                      <w:u w:val="none"/>
                      <w14:textFill>
                        <w14:solidFill>
                          <w14:schemeClr w14:val="tx1"/>
                        </w14:solidFill>
                      </w14:textFill>
                    </w:rPr>
                    <w:t>T</w:t>
                  </w:r>
                </w:p>
              </w:tc>
              <w:tc>
                <w:tcPr>
                  <w:tcW w:w="0" w:type="auto"/>
                  <w:noWrap w:val="0"/>
                  <w:vAlign w:val="center"/>
                </w:tcPr>
                <w:p>
                  <w:pPr>
                    <w:keepNext w:val="0"/>
                    <w:keepLines w:val="0"/>
                    <w:pageBreakBefore w:val="0"/>
                    <w:widowControl w:val="0"/>
                    <w:kinsoku/>
                    <w:wordWrap w:val="0"/>
                    <w:overflowPunct/>
                    <w:topLinePunct w:val="0"/>
                    <w:autoSpaceDE/>
                    <w:autoSpaceDN/>
                    <w:bidi w:val="0"/>
                    <w:adjustRightInd w:val="0"/>
                    <w:snapToGrid/>
                    <w:spacing w:line="240" w:lineRule="auto"/>
                    <w:ind w:left="-105" w:leftChars="-50" w:right="-105" w:rightChars="-50"/>
                    <w:jc w:val="center"/>
                    <w:textAlignment w:val="auto"/>
                    <w:rPr>
                      <w:rFonts w:hint="default" w:ascii="Times New Roman" w:hAnsi="Times New Roman" w:eastAsia="宋体"/>
                      <w:color w:val="000000" w:themeColor="text1"/>
                      <w:kern w:val="2"/>
                      <w:sz w:val="21"/>
                      <w:szCs w:val="21"/>
                      <w:u w:val="single"/>
                      <w:lang w:val="en-US" w:eastAsia="zh-CN" w:bidi="ar-SA"/>
                      <w14:textFill>
                        <w14:solidFill>
                          <w14:schemeClr w14:val="tx1"/>
                        </w14:solidFill>
                      </w14:textFill>
                    </w:rPr>
                  </w:pPr>
                  <w:r>
                    <w:rPr>
                      <w:rFonts w:hint="eastAsia" w:ascii="Times New Roman" w:hAnsi="Times New Roman"/>
                      <w:color w:val="000000" w:themeColor="text1"/>
                      <w:kern w:val="2"/>
                      <w:sz w:val="21"/>
                      <w:szCs w:val="21"/>
                      <w:u w:val="single"/>
                      <w:lang w:val="en-US" w:eastAsia="zh-CN" w:bidi="ar-SA"/>
                      <w14:textFill>
                        <w14:solidFill>
                          <w14:schemeClr w14:val="tx1"/>
                        </w14:solidFill>
                      </w14:textFill>
                    </w:rPr>
                    <w:t>固态</w:t>
                  </w: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u w:val="single"/>
                <w:lang w:val="en-US" w:eastAsia="zh-CN"/>
                <w14:textFill>
                  <w14:solidFill>
                    <w14:schemeClr w14:val="tx1"/>
                  </w14:solidFill>
                </w14:textFill>
              </w:rPr>
            </w:pP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本项目</w:t>
            </w:r>
            <w:r>
              <w:rPr>
                <w:rFonts w:hint="eastAsia" w:cs="Times New Roman"/>
                <w:color w:val="000000" w:themeColor="text1"/>
                <w:kern w:val="0"/>
                <w:sz w:val="24"/>
                <w:szCs w:val="24"/>
                <w:u w:val="single"/>
                <w:lang w:val="en-US" w:eastAsia="zh-CN" w:bidi="ar"/>
                <w14:textFill>
                  <w14:solidFill>
                    <w14:schemeClr w14:val="tx1"/>
                  </w14:solidFill>
                </w14:textFill>
              </w:rPr>
              <w:t>贮存的</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废催化剂</w:t>
            </w:r>
            <w:r>
              <w:rPr>
                <w:rFonts w:hint="eastAsia" w:cs="Times New Roman"/>
                <w:color w:val="000000" w:themeColor="text1"/>
                <w:kern w:val="0"/>
                <w:sz w:val="24"/>
                <w:szCs w:val="24"/>
                <w:u w:val="single"/>
                <w:lang w:val="en-US" w:eastAsia="zh-CN" w:bidi="ar"/>
                <w14:textFill>
                  <w14:solidFill>
                    <w14:schemeClr w14:val="tx1"/>
                  </w14:solidFill>
                </w14:textFill>
              </w:rPr>
              <w:t>主要为机动车和非道路移动机械尾气净化废催化剂，</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其主要成分包括铂、钯、铑等贵金属催化剂和γ-Al</w:t>
            </w:r>
            <w:r>
              <w:rPr>
                <w:rFonts w:hint="default" w:ascii="Times New Roman" w:hAnsi="Times New Roman" w:eastAsia="宋体" w:cs="Times New Roman"/>
                <w:color w:val="000000" w:themeColor="text1"/>
                <w:kern w:val="0"/>
                <w:sz w:val="24"/>
                <w:szCs w:val="24"/>
                <w:u w:val="singl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O</w:t>
            </w:r>
            <w:r>
              <w:rPr>
                <w:rFonts w:hint="default" w:ascii="Times New Roman" w:hAnsi="Times New Roman" w:eastAsia="宋体" w:cs="Times New Roman"/>
                <w:color w:val="000000" w:themeColor="text1"/>
                <w:kern w:val="0"/>
                <w:sz w:val="24"/>
                <w:szCs w:val="24"/>
                <w:u w:val="singl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、ZrO</w:t>
            </w:r>
            <w:r>
              <w:rPr>
                <w:rFonts w:hint="default" w:ascii="Times New Roman" w:hAnsi="Times New Roman" w:eastAsia="宋体" w:cs="Times New Roman"/>
                <w:color w:val="000000" w:themeColor="text1"/>
                <w:kern w:val="0"/>
                <w:sz w:val="24"/>
                <w:szCs w:val="24"/>
                <w:u w:val="single"/>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等载体材料</w:t>
            </w:r>
            <w:r>
              <w:rPr>
                <w:rFonts w:hint="eastAsia" w:cs="Times New Roman"/>
                <w:color w:val="000000" w:themeColor="text1"/>
                <w:kern w:val="0"/>
                <w:sz w:val="24"/>
                <w:szCs w:val="24"/>
                <w:u w:val="single"/>
                <w:lang w:val="en-US" w:eastAsia="zh-CN" w:bidi="ar"/>
                <w14:textFill>
                  <w14:solidFill>
                    <w14:schemeClr w14:val="tx1"/>
                  </w14:solidFill>
                </w14:textFill>
              </w:rPr>
              <w:t>。贮存</w:t>
            </w:r>
            <w:r>
              <w:rPr>
                <w:rFonts w:hint="eastAsia" w:ascii="Times New Roman" w:hAnsi="Times New Roman"/>
                <w:color w:val="000000" w:themeColor="text1"/>
                <w:spacing w:val="0"/>
                <w:sz w:val="24"/>
                <w:u w:val="single" w:color="auto"/>
                <w:lang w:val="en-US" w:eastAsia="zh-CN"/>
                <w14:textFill>
                  <w14:solidFill>
                    <w14:schemeClr w14:val="tx1"/>
                  </w14:solidFill>
                </w14:textFill>
              </w:rPr>
              <w:t>铅酸蓄电池</w:t>
            </w:r>
            <w:r>
              <w:rPr>
                <w:rFonts w:hint="eastAsia"/>
                <w:color w:val="000000" w:themeColor="text1"/>
                <w:spacing w:val="0"/>
                <w:sz w:val="24"/>
                <w:u w:val="single" w:color="auto"/>
                <w:lang w:val="en-US" w:eastAsia="zh-CN"/>
                <w14:textFill>
                  <w14:solidFill>
                    <w14:schemeClr w14:val="tx1"/>
                  </w14:solidFill>
                </w14:textFill>
              </w:rPr>
              <w:t>主要由外壳、电解液、电极、隔板等组成，其中，</w:t>
            </w:r>
            <w:r>
              <w:rPr>
                <w:rFonts w:hint="eastAsia" w:ascii="Times New Roman" w:hAnsi="Times New Roman"/>
                <w:color w:val="000000" w:themeColor="text1"/>
                <w:spacing w:val="0"/>
                <w:sz w:val="24"/>
                <w:u w:val="single" w:color="auto"/>
                <w:lang w:val="en-US" w:eastAsia="zh-CN"/>
                <w14:textFill>
                  <w14:solidFill>
                    <w14:schemeClr w14:val="tx1"/>
                  </w14:solidFill>
                </w14:textFill>
              </w:rPr>
              <w:t>铅酸蓄电池的</w:t>
            </w:r>
            <w:r>
              <w:rPr>
                <w:rFonts w:hint="eastAsia"/>
                <w:color w:val="000000" w:themeColor="text1"/>
                <w:spacing w:val="0"/>
                <w:sz w:val="24"/>
                <w:u w:val="single" w:color="auto"/>
                <w:lang w:val="en-US" w:eastAsia="zh-CN"/>
                <w14:textFill>
                  <w14:solidFill>
                    <w14:schemeClr w14:val="tx1"/>
                  </w14:solidFill>
                </w14:textFill>
              </w:rPr>
              <w:t>外壳主要为PP和ABS等，约占整个电池重量的5</w:t>
            </w:r>
            <w:r>
              <w:rPr>
                <w:rFonts w:hint="eastAsia" w:ascii="Times New Roman" w:hAnsi="Times New Roman"/>
                <w:color w:val="000000" w:themeColor="text1"/>
                <w:spacing w:val="0"/>
                <w:sz w:val="24"/>
                <w:u w:val="single" w:color="auto"/>
                <w:lang w:val="en-US" w:eastAsia="zh-CN"/>
                <w14:textFill>
                  <w14:solidFill>
                    <w14:schemeClr w14:val="tx1"/>
                  </w14:solidFill>
                </w14:textFill>
              </w:rPr>
              <w:t>%</w:t>
            </w:r>
            <w:r>
              <w:rPr>
                <w:rFonts w:hint="eastAsia"/>
                <w:color w:val="000000" w:themeColor="text1"/>
                <w:spacing w:val="0"/>
                <w:sz w:val="24"/>
                <w:u w:val="single" w:color="auto"/>
                <w:lang w:val="en-US" w:eastAsia="zh-CN"/>
                <w14:textFill>
                  <w14:solidFill>
                    <w14:schemeClr w14:val="tx1"/>
                  </w14:solidFill>
                </w14:textFill>
              </w:rPr>
              <w:t>；</w:t>
            </w:r>
            <w:r>
              <w:rPr>
                <w:rFonts w:hint="eastAsia" w:ascii="Times New Roman" w:hAnsi="Times New Roman"/>
                <w:color w:val="000000" w:themeColor="text1"/>
                <w:spacing w:val="0"/>
                <w:sz w:val="24"/>
                <w:u w:val="single" w:color="auto"/>
                <w:lang w:val="en-US" w:eastAsia="zh-CN"/>
                <w14:textFill>
                  <w14:solidFill>
                    <w14:schemeClr w14:val="tx1"/>
                  </w14:solidFill>
                </w14:textFill>
              </w:rPr>
              <w:t>铅酸蓄电池的电极主要由铅及其氧化物制成，</w:t>
            </w:r>
            <w:r>
              <w:rPr>
                <w:rFonts w:hint="eastAsia"/>
                <w:color w:val="000000" w:themeColor="text1"/>
                <w:spacing w:val="0"/>
                <w:sz w:val="24"/>
                <w:u w:val="single" w:color="auto"/>
                <w:lang w:val="en-US" w:eastAsia="zh-CN"/>
                <w14:textFill>
                  <w14:solidFill>
                    <w14:schemeClr w14:val="tx1"/>
                  </w14:solidFill>
                </w14:textFill>
              </w:rPr>
              <w:t>约占整个电池重量的83</w:t>
            </w:r>
            <w:r>
              <w:rPr>
                <w:rFonts w:hint="eastAsia" w:ascii="Times New Roman" w:hAnsi="Times New Roman"/>
                <w:color w:val="000000" w:themeColor="text1"/>
                <w:spacing w:val="0"/>
                <w:sz w:val="24"/>
                <w:u w:val="single" w:color="auto"/>
                <w:lang w:val="en-US" w:eastAsia="zh-CN"/>
                <w14:textFill>
                  <w14:solidFill>
                    <w14:schemeClr w14:val="tx1"/>
                  </w14:solidFill>
                </w14:textFill>
              </w:rPr>
              <w:t>%</w:t>
            </w:r>
            <w:r>
              <w:rPr>
                <w:rFonts w:hint="eastAsia"/>
                <w:color w:val="000000" w:themeColor="text1"/>
                <w:spacing w:val="0"/>
                <w:sz w:val="24"/>
                <w:u w:val="single" w:color="auto"/>
                <w:lang w:val="en-US" w:eastAsia="zh-CN"/>
                <w14:textFill>
                  <w14:solidFill>
                    <w14:schemeClr w14:val="tx1"/>
                  </w14:solidFill>
                </w14:textFill>
              </w:rPr>
              <w:t>~85</w:t>
            </w:r>
            <w:r>
              <w:rPr>
                <w:rFonts w:hint="eastAsia" w:ascii="Times New Roman" w:hAnsi="Times New Roman"/>
                <w:color w:val="000000" w:themeColor="text1"/>
                <w:spacing w:val="0"/>
                <w:sz w:val="24"/>
                <w:u w:val="single" w:color="auto"/>
                <w:lang w:val="en-US" w:eastAsia="zh-CN"/>
                <w14:textFill>
                  <w14:solidFill>
                    <w14:schemeClr w14:val="tx1"/>
                  </w14:solidFill>
                </w14:textFill>
              </w:rPr>
              <w:t>%</w:t>
            </w:r>
            <w:r>
              <w:rPr>
                <w:rFonts w:hint="eastAsia"/>
                <w:color w:val="000000" w:themeColor="text1"/>
                <w:spacing w:val="0"/>
                <w:sz w:val="24"/>
                <w:u w:val="single" w:color="auto"/>
                <w:lang w:val="en-US" w:eastAsia="zh-CN"/>
                <w14:textFill>
                  <w14:solidFill>
                    <w14:schemeClr w14:val="tx1"/>
                  </w14:solidFill>
                </w14:textFill>
              </w:rPr>
              <w:t>；</w:t>
            </w:r>
            <w:r>
              <w:rPr>
                <w:rFonts w:hint="eastAsia" w:ascii="Times New Roman" w:hAnsi="Times New Roman"/>
                <w:color w:val="000000" w:themeColor="text1"/>
                <w:spacing w:val="0"/>
                <w:sz w:val="24"/>
                <w:u w:val="single" w:color="auto"/>
                <w:lang w:val="en-US" w:eastAsia="zh-CN"/>
                <w14:textFill>
                  <w14:solidFill>
                    <w14:schemeClr w14:val="tx1"/>
                  </w14:solidFill>
                </w14:textFill>
              </w:rPr>
              <w:t>电解液</w:t>
            </w:r>
            <w:r>
              <w:rPr>
                <w:rFonts w:ascii="Times New Roman" w:hAnsi="Times New Roman"/>
                <w:color w:val="000000" w:themeColor="text1"/>
                <w:spacing w:val="0"/>
                <w:sz w:val="24"/>
                <w:u w:val="single" w:color="auto"/>
                <w14:textFill>
                  <w14:solidFill>
                    <w14:schemeClr w14:val="tx1"/>
                  </w14:solidFill>
                </w14:textFill>
              </w:rPr>
              <w:t>主要成分为硫酸</w:t>
            </w:r>
            <w:r>
              <w:rPr>
                <w:rFonts w:hint="eastAsia"/>
                <w:color w:val="000000" w:themeColor="text1"/>
                <w:spacing w:val="0"/>
                <w:sz w:val="24"/>
                <w:u w:val="single" w:color="auto"/>
                <w:lang w:val="en-US" w:eastAsia="zh-CN"/>
                <w14:textFill>
                  <w14:solidFill>
                    <w14:schemeClr w14:val="tx1"/>
                  </w14:solidFill>
                </w14:textFill>
              </w:rPr>
              <w:t>和水</w:t>
            </w:r>
            <w:r>
              <w:rPr>
                <w:rFonts w:ascii="Times New Roman" w:hAnsi="Times New Roman"/>
                <w:color w:val="000000" w:themeColor="text1"/>
                <w:spacing w:val="0"/>
                <w:sz w:val="24"/>
                <w:u w:val="single" w:color="auto"/>
                <w14:textFill>
                  <w14:solidFill>
                    <w14:schemeClr w14:val="tx1"/>
                  </w14:solidFill>
                </w14:textFill>
              </w:rPr>
              <w:t>，</w:t>
            </w:r>
            <w:r>
              <w:rPr>
                <w:rFonts w:hint="eastAsia"/>
                <w:color w:val="000000" w:themeColor="text1"/>
                <w:spacing w:val="0"/>
                <w:sz w:val="24"/>
                <w:u w:val="single" w:color="auto"/>
                <w:lang w:val="en-US" w:eastAsia="zh-CN"/>
                <w14:textFill>
                  <w14:solidFill>
                    <w14:schemeClr w14:val="tx1"/>
                  </w14:solidFill>
                </w14:textFill>
              </w:rPr>
              <w:t>约占整个电池重量</w:t>
            </w:r>
            <w:r>
              <w:rPr>
                <w:rFonts w:ascii="Times New Roman" w:hAnsi="Times New Roman"/>
                <w:color w:val="000000" w:themeColor="text1"/>
                <w:spacing w:val="0"/>
                <w:sz w:val="24"/>
                <w:u w:val="single" w:color="auto"/>
                <w14:textFill>
                  <w14:solidFill>
                    <w14:schemeClr w14:val="tx1"/>
                  </w14:solidFill>
                </w14:textFill>
              </w:rPr>
              <w:t>为</w:t>
            </w:r>
            <w:r>
              <w:rPr>
                <w:rFonts w:hint="eastAsia"/>
                <w:color w:val="000000" w:themeColor="text1"/>
                <w:spacing w:val="0"/>
                <w:sz w:val="24"/>
                <w:u w:val="single" w:color="auto"/>
                <w:lang w:val="en-US" w:eastAsia="zh-CN"/>
                <w14:textFill>
                  <w14:solidFill>
                    <w14:schemeClr w14:val="tx1"/>
                  </w14:solidFill>
                </w14:textFill>
              </w:rPr>
              <w:t>5%~</w:t>
            </w:r>
            <w:r>
              <w:rPr>
                <w:rFonts w:hint="eastAsia" w:cs="Times New Roman"/>
                <w:color w:val="000000" w:themeColor="text1"/>
                <w:spacing w:val="0"/>
                <w:sz w:val="24"/>
                <w:u w:val="single" w:color="auto"/>
                <w:lang w:val="en-US" w:eastAsia="zh-CN"/>
                <w14:textFill>
                  <w14:solidFill>
                    <w14:schemeClr w14:val="tx1"/>
                  </w14:solidFill>
                </w14:textFill>
              </w:rPr>
              <w:t>7</w:t>
            </w:r>
            <w:r>
              <w:rPr>
                <w:rFonts w:ascii="Times New Roman" w:hAnsi="Times New Roman" w:eastAsia="Times New Roman" w:cs="Times New Roman"/>
                <w:color w:val="000000" w:themeColor="text1"/>
                <w:spacing w:val="0"/>
                <w:sz w:val="24"/>
                <w:u w:val="single" w:color="auto"/>
                <w14:textFill>
                  <w14:solidFill>
                    <w14:schemeClr w14:val="tx1"/>
                  </w14:solidFill>
                </w14:textFill>
              </w:rPr>
              <w:t>%</w:t>
            </w:r>
            <w:r>
              <w:rPr>
                <w:rFonts w:hint="eastAsia" w:eastAsia="宋体" w:cs="Times New Roman"/>
                <w:color w:val="000000" w:themeColor="text1"/>
                <w:spacing w:val="0"/>
                <w:sz w:val="24"/>
                <w:u w:val="single" w:color="auto"/>
                <w:lang w:eastAsia="zh-CN"/>
                <w14:textFill>
                  <w14:solidFill>
                    <w14:schemeClr w14:val="tx1"/>
                  </w14:solidFill>
                </w14:textFill>
              </w:rPr>
              <w:t>，</w:t>
            </w:r>
            <w:r>
              <w:rPr>
                <w:rFonts w:hint="eastAsia" w:eastAsia="宋体" w:cs="Times New Roman"/>
                <w:color w:val="000000" w:themeColor="text1"/>
                <w:spacing w:val="0"/>
                <w:sz w:val="24"/>
                <w:u w:val="single" w:color="auto"/>
                <w:lang w:val="en-US" w:eastAsia="zh-CN"/>
                <w14:textFill>
                  <w14:solidFill>
                    <w14:schemeClr w14:val="tx1"/>
                  </w14:solidFill>
                </w14:textFill>
              </w:rPr>
              <w:t>硫酸</w:t>
            </w:r>
            <w:r>
              <w:rPr>
                <w:rFonts w:hint="eastAsia"/>
                <w:color w:val="000000" w:themeColor="text1"/>
                <w:spacing w:val="0"/>
                <w:sz w:val="24"/>
                <w:u w:val="single" w:color="auto"/>
                <w:lang w:val="en-US" w:eastAsia="zh-CN"/>
                <w14:textFill>
                  <w14:solidFill>
                    <w14:schemeClr w14:val="tx1"/>
                  </w14:solidFill>
                </w14:textFill>
              </w:rPr>
              <w:t>浓度为</w:t>
            </w:r>
            <w:r>
              <w:rPr>
                <w:rFonts w:hint="eastAsia" w:eastAsia="宋体" w:cs="Times New Roman"/>
                <w:color w:val="000000" w:themeColor="text1"/>
                <w:spacing w:val="0"/>
                <w:sz w:val="24"/>
                <w:u w:val="single" w:color="auto"/>
                <w:lang w:val="en-US" w:eastAsia="zh-CN"/>
                <w14:textFill>
                  <w14:solidFill>
                    <w14:schemeClr w14:val="tx1"/>
                  </w14:solidFill>
                </w14:textFill>
              </w:rPr>
              <w:t>2</w:t>
            </w:r>
            <w:r>
              <w:rPr>
                <w:rFonts w:hint="eastAsia" w:cs="Times New Roman"/>
                <w:color w:val="000000" w:themeColor="text1"/>
                <w:spacing w:val="0"/>
                <w:sz w:val="24"/>
                <w:u w:val="single" w:color="auto"/>
                <w:lang w:val="en-US" w:eastAsia="zh-CN"/>
                <w14:textFill>
                  <w14:solidFill>
                    <w14:schemeClr w14:val="tx1"/>
                  </w14:solidFill>
                </w14:textFill>
              </w:rPr>
              <w:t>0</w:t>
            </w:r>
            <w:r>
              <w:rPr>
                <w:rFonts w:hint="eastAsia" w:eastAsia="宋体" w:cs="Times New Roman"/>
                <w:color w:val="000000" w:themeColor="text1"/>
                <w:spacing w:val="0"/>
                <w:sz w:val="24"/>
                <w:u w:val="single" w:color="auto"/>
                <w:lang w:val="en-US" w:eastAsia="zh-CN"/>
                <w14:textFill>
                  <w14:solidFill>
                    <w14:schemeClr w14:val="tx1"/>
                  </w14:solidFill>
                </w14:textFill>
              </w:rPr>
              <w:t>%~30</w:t>
            </w:r>
            <w:r>
              <w:rPr>
                <w:rFonts w:hint="eastAsia"/>
                <w:color w:val="000000" w:themeColor="text1"/>
                <w:spacing w:val="0"/>
                <w:sz w:val="24"/>
                <w:u w:val="single" w:color="auto"/>
                <w:lang w:val="en-US" w:eastAsia="zh-CN"/>
                <w14:textFill>
                  <w14:solidFill>
                    <w14:schemeClr w14:val="tx1"/>
                  </w14:solidFill>
                </w14:textFill>
              </w:rPr>
              <w:t>%</w:t>
            </w:r>
            <w:r>
              <w:rPr>
                <w:rFonts w:hint="eastAsia" w:eastAsia="宋体"/>
                <w:color w:val="000000" w:themeColor="text1"/>
                <w:spacing w:val="0"/>
                <w:sz w:val="24"/>
                <w:u w:val="single" w:color="auto"/>
                <w:lang w:eastAsia="zh-CN"/>
                <w14:textFill>
                  <w14:solidFill>
                    <w14:schemeClr w14:val="tx1"/>
                  </w14:solidFill>
                </w14:textFill>
              </w:rPr>
              <w:t>；</w:t>
            </w:r>
            <w:r>
              <w:rPr>
                <w:rFonts w:hint="eastAsia"/>
                <w:color w:val="000000" w:themeColor="text1"/>
                <w:spacing w:val="0"/>
                <w:sz w:val="24"/>
                <w:u w:val="single" w:color="auto"/>
                <w:lang w:val="en-US" w:eastAsia="zh-CN"/>
                <w14:textFill>
                  <w14:solidFill>
                    <w14:schemeClr w14:val="tx1"/>
                  </w14:solidFill>
                </w14:textFill>
              </w:rPr>
              <w:t>隔板</w:t>
            </w:r>
            <w:r>
              <w:rPr>
                <w:rFonts w:ascii="Times New Roman" w:hAnsi="Times New Roman"/>
                <w:color w:val="000000" w:themeColor="text1"/>
                <w:spacing w:val="0"/>
                <w:sz w:val="24"/>
                <w:u w:val="single" w:color="auto"/>
                <w14:textFill>
                  <w14:solidFill>
                    <w14:schemeClr w14:val="tx1"/>
                  </w14:solidFill>
                </w14:textFill>
              </w:rPr>
              <w:t>主要成分为</w:t>
            </w:r>
            <w:r>
              <w:rPr>
                <w:rFonts w:hint="eastAsia" w:ascii="Times New Roman" w:hAnsi="Times New Roman"/>
                <w:color w:val="000000" w:themeColor="text1"/>
                <w:spacing w:val="0"/>
                <w:sz w:val="24"/>
                <w:u w:val="single" w:color="auto"/>
                <w14:textFill>
                  <w14:solidFill>
                    <w14:schemeClr w14:val="tx1"/>
                  </w14:solidFill>
                </w14:textFill>
              </w:rPr>
              <w:t>橡胶、塑料和玻璃纤维</w:t>
            </w:r>
            <w:r>
              <w:rPr>
                <w:rFonts w:ascii="Times New Roman" w:hAnsi="Times New Roman"/>
                <w:color w:val="000000" w:themeColor="text1"/>
                <w:spacing w:val="0"/>
                <w:sz w:val="24"/>
                <w:u w:val="single" w:color="auto"/>
                <w14:textFill>
                  <w14:solidFill>
                    <w14:schemeClr w14:val="tx1"/>
                  </w14:solidFill>
                </w14:textFill>
              </w:rPr>
              <w:t>，</w:t>
            </w:r>
            <w:r>
              <w:rPr>
                <w:rFonts w:hint="eastAsia"/>
                <w:color w:val="000000" w:themeColor="text1"/>
                <w:spacing w:val="0"/>
                <w:sz w:val="24"/>
                <w:u w:val="single" w:color="auto"/>
                <w:lang w:val="en-US" w:eastAsia="zh-CN"/>
                <w14:textFill>
                  <w14:solidFill>
                    <w14:schemeClr w14:val="tx1"/>
                  </w14:solidFill>
                </w14:textFill>
              </w:rPr>
              <w:t>约占整个电池重量</w:t>
            </w:r>
            <w:r>
              <w:rPr>
                <w:rFonts w:ascii="Times New Roman" w:hAnsi="Times New Roman"/>
                <w:color w:val="000000" w:themeColor="text1"/>
                <w:spacing w:val="0"/>
                <w:sz w:val="24"/>
                <w:u w:val="single" w:color="auto"/>
                <w14:textFill>
                  <w14:solidFill>
                    <w14:schemeClr w14:val="tx1"/>
                  </w14:solidFill>
                </w14:textFill>
              </w:rPr>
              <w:t>为</w:t>
            </w:r>
            <w:r>
              <w:rPr>
                <w:rFonts w:hint="eastAsia"/>
                <w:color w:val="000000" w:themeColor="text1"/>
                <w:spacing w:val="0"/>
                <w:sz w:val="24"/>
                <w:u w:val="single" w:color="auto"/>
                <w:lang w:val="en-US" w:eastAsia="zh-CN"/>
                <w14:textFill>
                  <w14:solidFill>
                    <w14:schemeClr w14:val="tx1"/>
                  </w14:solidFill>
                </w14:textFill>
              </w:rPr>
              <w:t>5%。</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本项目危险废物共分为5大类，根据危险废物种类、形态及相容性分类暂存于5个暂存区内，且包装桶全部实施加盖密闭，</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各类危险废物贮存时，严格按危险废物的种类和特性进行分区贮存，每个贮存区域之间设置挡墙间隔，严禁不相容的危险废物堆放在一起。</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并且每个暂存区内均设置导流槽和收集井</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单独收集该改暂存区内事故状态下的泄露液体</w:t>
            </w:r>
            <w:r>
              <w:rPr>
                <w:rFonts w:hint="eastAsia" w:cs="Times New Roman"/>
                <w:b w:val="0"/>
                <w:bCs w:val="0"/>
                <w:color w:val="000000" w:themeColor="text1"/>
                <w:sz w:val="24"/>
                <w:szCs w:val="24"/>
                <w:highlight w:val="none"/>
                <w:u w:val="none"/>
                <w:lang w:val="en-US" w:eastAsia="zh-CN"/>
                <w14:textFill>
                  <w14:solidFill>
                    <w14:schemeClr w14:val="tx1"/>
                  </w14:solidFill>
                </w14:textFill>
              </w:rPr>
              <w:t>。</w:t>
            </w:r>
          </w:p>
          <w:p>
            <w:pPr>
              <w:keepNext w:val="0"/>
              <w:keepLines w:val="0"/>
              <w:pageBreakBefore w:val="0"/>
              <w:widowControl/>
              <w:kinsoku/>
              <w:wordWrap w:val="0"/>
              <w:overflowPunct/>
              <w:topLinePunct w:val="0"/>
              <w:autoSpaceDE/>
              <w:autoSpaceDN/>
              <w:bidi w:val="0"/>
              <w:adjustRightInd/>
              <w:snapToGrid/>
              <w:spacing w:line="500" w:lineRule="exact"/>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eastAsia" w:cs="Times New Roman"/>
                <w:b/>
                <w:bCs/>
                <w:color w:val="000000" w:themeColor="text1"/>
                <w:sz w:val="24"/>
                <w:szCs w:val="24"/>
                <w:highlight w:val="none"/>
                <w:u w:val="none"/>
                <w:lang w:val="en-US" w:eastAsia="zh-CN"/>
                <w14:textFill>
                  <w14:solidFill>
                    <w14:schemeClr w14:val="tx1"/>
                  </w14:solidFill>
                </w14:textFill>
              </w:rPr>
              <w:t>5</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危险废物贮存能力分析</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color w:val="000000" w:themeColor="text1"/>
                <w:spacing w:val="0"/>
                <w:sz w:val="24"/>
                <w:u w:val="single" w:color="auto"/>
                <w:lang w:val="en-US" w:eastAsia="zh-CN"/>
                <w14:textFill>
                  <w14:solidFill>
                    <w14:schemeClr w14:val="tx1"/>
                  </w14:solidFill>
                </w14:textFill>
              </w:rPr>
            </w:pPr>
            <w:r>
              <w:rPr>
                <w:rFonts w:hint="eastAsia" w:ascii="Times New Roman" w:hAnsi="Times New Roman"/>
                <w:color w:val="000000" w:themeColor="text1"/>
                <w:spacing w:val="0"/>
                <w:sz w:val="24"/>
                <w:u w:val="single" w:color="auto"/>
                <w:lang w:val="en-US" w:eastAsia="zh-CN"/>
                <w14:textFill>
                  <w14:solidFill>
                    <w14:schemeClr w14:val="tx1"/>
                  </w14:solidFill>
                </w14:textFill>
              </w:rPr>
              <w:t>拟建项目为废矿物油、废铅酸蓄电池、废催化剂等危险废物的收集、暂存建设项目，租赁厂房只是作为临时存放、转运场所。不对废铅酸蓄电池</w:t>
            </w:r>
            <w:r>
              <w:rPr>
                <w:rFonts w:hint="eastAsia"/>
                <w:color w:val="000000" w:themeColor="text1"/>
                <w:spacing w:val="0"/>
                <w:sz w:val="24"/>
                <w:u w:val="single" w:color="auto"/>
                <w:lang w:val="en-US" w:eastAsia="zh-CN"/>
                <w14:textFill>
                  <w14:solidFill>
                    <w14:schemeClr w14:val="tx1"/>
                  </w14:solidFill>
                </w14:textFill>
              </w:rPr>
              <w:t>等贮存的危险废物</w:t>
            </w:r>
            <w:r>
              <w:rPr>
                <w:rFonts w:hint="eastAsia" w:ascii="Times New Roman" w:hAnsi="Times New Roman"/>
                <w:color w:val="000000" w:themeColor="text1"/>
                <w:spacing w:val="0"/>
                <w:sz w:val="24"/>
                <w:u w:val="single" w:color="auto"/>
                <w:lang w:val="en-US" w:eastAsia="zh-CN"/>
                <w14:textFill>
                  <w14:solidFill>
                    <w14:schemeClr w14:val="tx1"/>
                  </w14:solidFill>
                </w14:textFill>
              </w:rPr>
              <w:t>进行拆解以及进行物化加工等，经有运输资质的专用车辆运至本暂存厂房</w:t>
            </w:r>
            <w:r>
              <w:rPr>
                <w:rFonts w:hint="eastAsia"/>
                <w:color w:val="000000" w:themeColor="text1"/>
                <w:spacing w:val="0"/>
                <w:sz w:val="24"/>
                <w:u w:val="single" w:color="auto"/>
                <w:lang w:val="en-US" w:eastAsia="zh-CN"/>
                <w14:textFill>
                  <w14:solidFill>
                    <w14:schemeClr w14:val="tx1"/>
                  </w14:solidFill>
                </w14:textFill>
              </w:rPr>
              <w:t>。其中，</w:t>
            </w:r>
            <w:r>
              <w:rPr>
                <w:rFonts w:hint="eastAsia" w:ascii="Times New Roman" w:hAnsi="Times New Roman"/>
                <w:color w:val="000000" w:themeColor="text1"/>
                <w:spacing w:val="0"/>
                <w:sz w:val="24"/>
                <w:u w:val="single" w:color="auto"/>
                <w:lang w:val="en-US" w:eastAsia="zh-CN"/>
                <w14:textFill>
                  <w14:solidFill>
                    <w14:schemeClr w14:val="tx1"/>
                  </w14:solidFill>
                </w14:textFill>
              </w:rPr>
              <w:t>收集的废铅酸蓄电池均为来自收集点更换下的完整电池</w:t>
            </w:r>
            <w:r>
              <w:rPr>
                <w:rFonts w:hint="eastAsia"/>
                <w:color w:val="000000" w:themeColor="text1"/>
                <w:spacing w:val="0"/>
                <w:sz w:val="24"/>
                <w:u w:val="single" w:color="auto"/>
                <w:lang w:val="en-US" w:eastAsia="zh-CN"/>
                <w14:textFill>
                  <w14:solidFill>
                    <w14:schemeClr w14:val="tx1"/>
                  </w14:solidFill>
                </w14:textFill>
              </w:rPr>
              <w:t>，运输过程及贮存过程</w:t>
            </w:r>
            <w:r>
              <w:rPr>
                <w:rFonts w:hint="eastAsia" w:ascii="Times New Roman" w:hAnsi="Times New Roman"/>
                <w:color w:val="000000" w:themeColor="text1"/>
                <w:spacing w:val="0"/>
                <w:sz w:val="24"/>
                <w:u w:val="single" w:color="auto"/>
                <w:lang w:val="en-US" w:eastAsia="zh-CN"/>
                <w14:textFill>
                  <w14:solidFill>
                    <w14:schemeClr w14:val="tx1"/>
                  </w14:solidFill>
                </w14:textFill>
              </w:rPr>
              <w:t>一般不会对废铅酸蓄电池造成损伤，只有搬卸过程中的外力撞击下会有极少量电池受损，发生破损的几率很低。</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根据《电池废料贮存规范》（GB/T26493-2011）要求：“列入国家危险废物名录的电池废料，根据不同组别采取分离贮存，统一组别采取隔离贮存”，本项目收集废铅蓄电池，属于危险废物，且属于同一组别（均为铅蓄电池），因此采用隔离贮存方式进行贮存。按照《电池废料贮存规范》（GB/T 26493-2011）进行设计详见下表。</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表2-4  电池废料贮存规范隔离贮存要求</w:t>
            </w:r>
          </w:p>
          <w:tbl>
            <w:tblPr>
              <w:tblStyle w:val="19"/>
              <w:tblW w:w="0" w:type="auto"/>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32"/>
              <w:gridCol w:w="4959"/>
              <w:gridCol w:w="284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序号</w:t>
                  </w:r>
                </w:p>
              </w:tc>
              <w:tc>
                <w:tcPr>
                  <w:tcW w:w="495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贮存方式要求</w:t>
                  </w:r>
                </w:p>
              </w:tc>
              <w:tc>
                <w:tcPr>
                  <w:tcW w:w="2847"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隔离要求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w:t>
                  </w:r>
                </w:p>
              </w:tc>
              <w:tc>
                <w:tcPr>
                  <w:tcW w:w="495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平均单位贮存量（t/m</w:t>
                  </w:r>
                  <w:r>
                    <w:rPr>
                      <w:rFonts w:hint="eastAsia"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c>
                <w:tcPr>
                  <w:tcW w:w="2847"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1.5-2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w:t>
                  </w:r>
                </w:p>
              </w:tc>
              <w:tc>
                <w:tcPr>
                  <w:tcW w:w="495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单一贮存区最大贮存量（t）</w:t>
                  </w:r>
                </w:p>
              </w:tc>
              <w:tc>
                <w:tcPr>
                  <w:tcW w:w="2847"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200-300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3</w:t>
                  </w:r>
                </w:p>
              </w:tc>
              <w:tc>
                <w:tcPr>
                  <w:tcW w:w="495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贮存区间距（m）</w:t>
                  </w:r>
                </w:p>
              </w:tc>
              <w:tc>
                <w:tcPr>
                  <w:tcW w:w="2847"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0.3-0.5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42" w:hRule="atLeast"/>
                <w:jc w:val="center"/>
              </w:trPr>
              <w:tc>
                <w:tcPr>
                  <w:tcW w:w="7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4</w:t>
                  </w:r>
                </w:p>
              </w:tc>
              <w:tc>
                <w:tcPr>
                  <w:tcW w:w="495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通道宽度（m）</w:t>
                  </w:r>
                </w:p>
              </w:tc>
              <w:tc>
                <w:tcPr>
                  <w:tcW w:w="2847"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32"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5</w:t>
                  </w:r>
                </w:p>
              </w:tc>
              <w:tc>
                <w:tcPr>
                  <w:tcW w:w="495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墙距宽度（m）</w:t>
                  </w:r>
                </w:p>
              </w:tc>
              <w:tc>
                <w:tcPr>
                  <w:tcW w:w="2847"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0.3-0.5</w:t>
                  </w: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根据《废铅蓄电池处理污染控制技术规范》（HJ519-2020）的相关规定：</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“集中转运点贮存时间最长不超过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年，贮存规模应小于贮存场所的设计容量”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，根据《电池废料贮运规范》（GB/T26493-2011），隔离贮存平均单位面积贮存量为1.5~2t/m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，本环评取最小1.5t/m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，废铅蓄电池贮存区设计面积700m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，则废铅酸蓄电池设计贮存能力为1050t，项目废铅酸蓄电池贮存规模应小于贮存场所的设计容量1050t，即将达到贮存能力上限时应及时转运。</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因此，本项目废铅蓄电池贮存满足相关国家规范要求，同时项目运营过程中，建设过程应加强监管，严格执行《废铅蓄电池处理污染控制技术规范》（HJ519-2020）的相关规定。</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本项目废矿物油与含矿物油废物贮存区面积300m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（含2座</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储油罐），贮存能力为150t；表面处理废物贮存区面积</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60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，贮存能力为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0t；废催化剂贮存区面积</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50</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，贮存能力为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0t；</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其他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废物贮存区面积</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，贮存能力为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0t。评价要求项目贮存的危险废物应及时转运，实际贮存量应低于贮存能力上限。</w:t>
            </w:r>
          </w:p>
          <w:p>
            <w:pPr>
              <w:keepNext w:val="0"/>
              <w:keepLines w:val="0"/>
              <w:pageBreakBefore w:val="0"/>
              <w:widowControl/>
              <w:kinsoku/>
              <w:wordWrap w:val="0"/>
              <w:overflowPunct/>
              <w:topLinePunct w:val="0"/>
              <w:autoSpaceDE/>
              <w:autoSpaceDN/>
              <w:bidi w:val="0"/>
              <w:adjustRightInd/>
              <w:snapToGrid/>
              <w:spacing w:line="500" w:lineRule="exact"/>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eastAsia" w:cs="Times New Roman"/>
                <w:b/>
                <w:bCs/>
                <w:color w:val="000000" w:themeColor="text1"/>
                <w:sz w:val="24"/>
                <w:szCs w:val="24"/>
                <w:highlight w:val="none"/>
                <w:u w:val="none"/>
                <w:lang w:val="en-US" w:eastAsia="zh-CN"/>
                <w14:textFill>
                  <w14:solidFill>
                    <w14:schemeClr w14:val="tx1"/>
                  </w14:solidFill>
                </w14:textFill>
              </w:rPr>
              <w:t>6</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生产设备</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本项目主要生产设备见下表。</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表2-5  本项目主要设备一览表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912"/>
              <w:gridCol w:w="2500"/>
              <w:gridCol w:w="1707"/>
              <w:gridCol w:w="1707"/>
              <w:gridCol w:w="170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序号</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设备名称</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规格</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数量</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储油罐</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40m</w:t>
                  </w:r>
                  <w:r>
                    <w:rPr>
                      <w:rFonts w:hint="eastAsia"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2座</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固定顶罐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油泵</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4kW</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2个</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3</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包装容器</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200L</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200套</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4</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防渗托盘</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100套</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5</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地磅</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30t</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1个</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6</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叉车</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1辆</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912"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7</w:t>
                  </w:r>
                </w:p>
              </w:tc>
              <w:tc>
                <w:tcPr>
                  <w:tcW w:w="2500"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PE暂存箱</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200套</w:t>
                  </w:r>
                </w:p>
              </w:tc>
              <w:tc>
                <w:tcPr>
                  <w:tcW w:w="1707" w:type="dxa"/>
                  <w:tcBorders>
                    <w:tl2br w:val="nil"/>
                    <w:tr2bl w:val="nil"/>
                  </w:tcBorders>
                  <w:noWrap w:val="0"/>
                  <w:vAlign w:val="top"/>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p>
              </w:tc>
            </w:tr>
          </w:tbl>
          <w:p>
            <w:pPr>
              <w:keepNext w:val="0"/>
              <w:keepLines w:val="0"/>
              <w:pageBreakBefore w:val="0"/>
              <w:widowControl/>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eastAsia" w:cs="Times New Roman"/>
                <w:b/>
                <w:bCs/>
                <w:color w:val="000000" w:themeColor="text1"/>
                <w:sz w:val="24"/>
                <w:szCs w:val="24"/>
                <w:highlight w:val="none"/>
                <w:u w:val="none"/>
                <w:lang w:val="en-US" w:eastAsia="zh-CN"/>
                <w14:textFill>
                  <w14:solidFill>
                    <w14:schemeClr w14:val="tx1"/>
                  </w14:solidFill>
                </w14:textFill>
              </w:rPr>
              <w:t>7</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能源消耗</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本项目能源消耗情况见下表。</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表2-6  本项目能源消耗一览表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66"/>
              <w:gridCol w:w="3399"/>
              <w:gridCol w:w="2134"/>
              <w:gridCol w:w="213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序号</w:t>
                  </w:r>
                </w:p>
              </w:tc>
              <w:tc>
                <w:tcPr>
                  <w:tcW w:w="339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名称</w:t>
                  </w:r>
                </w:p>
              </w:tc>
              <w:tc>
                <w:tcPr>
                  <w:tcW w:w="21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单位</w:t>
                  </w:r>
                </w:p>
              </w:tc>
              <w:tc>
                <w:tcPr>
                  <w:tcW w:w="21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年耗量</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w:t>
                  </w:r>
                </w:p>
              </w:tc>
              <w:tc>
                <w:tcPr>
                  <w:tcW w:w="339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水</w:t>
                  </w:r>
                </w:p>
              </w:tc>
              <w:tc>
                <w:tcPr>
                  <w:tcW w:w="21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m</w:t>
                  </w:r>
                  <w:r>
                    <w:rPr>
                      <w:rFonts w:hint="eastAsia" w:ascii="Times New Roman" w:hAnsi="Times New Roman" w:eastAsia="宋体" w:cs="Times New Roman"/>
                      <w:b w:val="0"/>
                      <w:bCs w:val="0"/>
                      <w:color w:val="000000" w:themeColor="text1"/>
                      <w:sz w:val="21"/>
                      <w:szCs w:val="21"/>
                      <w:highlight w:val="none"/>
                      <w:u w:val="none"/>
                      <w:vertAlign w:val="superscript"/>
                      <w:lang w:val="en-US" w:eastAsia="zh-CN"/>
                      <w14:textFill>
                        <w14:solidFill>
                          <w14:schemeClr w14:val="tx1"/>
                        </w14:solidFill>
                      </w14:textFill>
                    </w:rPr>
                    <w:t>3</w:t>
                  </w:r>
                </w:p>
              </w:tc>
              <w:tc>
                <w:tcPr>
                  <w:tcW w:w="21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381.6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866"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w:t>
                  </w:r>
                </w:p>
              </w:tc>
              <w:tc>
                <w:tcPr>
                  <w:tcW w:w="339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电</w:t>
                  </w:r>
                </w:p>
              </w:tc>
              <w:tc>
                <w:tcPr>
                  <w:tcW w:w="21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kW</w:t>
                  </w: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h</w:t>
                  </w:r>
                </w:p>
              </w:tc>
              <w:tc>
                <w:tcPr>
                  <w:tcW w:w="2134"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2000万</w:t>
                  </w:r>
                </w:p>
              </w:tc>
            </w:tr>
          </w:tbl>
          <w:p>
            <w:pPr>
              <w:keepNext w:val="0"/>
              <w:keepLines w:val="0"/>
              <w:pageBreakBefore w:val="0"/>
              <w:widowControl/>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eastAsia" w:cs="Times New Roman"/>
                <w:b/>
                <w:bCs/>
                <w:color w:val="000000" w:themeColor="text1"/>
                <w:sz w:val="24"/>
                <w:szCs w:val="24"/>
                <w:highlight w:val="none"/>
                <w:u w:val="none"/>
                <w:lang w:val="en-US" w:eastAsia="zh-CN"/>
                <w14:textFill>
                  <w14:solidFill>
                    <w14:schemeClr w14:val="tx1"/>
                  </w14:solidFill>
                </w14:textFill>
              </w:rPr>
              <w:t>8</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劳动定员及工作制度</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本项目劳动定员30人，年生产天数360天，1班制，每班工作8小时，年工作2880小时。危废贮存天数按365天计，每日24小时，年运行时数8760小时。</w:t>
            </w:r>
          </w:p>
          <w:p>
            <w:pPr>
              <w:keepNext w:val="0"/>
              <w:keepLines w:val="0"/>
              <w:pageBreakBefore w:val="0"/>
              <w:widowControl/>
              <w:kinsoku/>
              <w:wordWrap w:val="0"/>
              <w:overflowPunct/>
              <w:topLinePunct w:val="0"/>
              <w:autoSpaceDE/>
              <w:autoSpaceDN/>
              <w:bidi w:val="0"/>
              <w:adjustRightInd/>
              <w:snapToGrid/>
              <w:spacing w:line="500" w:lineRule="exact"/>
              <w:jc w:val="both"/>
              <w:textAlignment w:val="auto"/>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eastAsia" w:cs="Times New Roman"/>
                <w:b/>
                <w:bCs/>
                <w:color w:val="000000" w:themeColor="text1"/>
                <w:sz w:val="24"/>
                <w:szCs w:val="24"/>
                <w:highlight w:val="none"/>
                <w:u w:val="none"/>
                <w:lang w:val="en-US" w:eastAsia="zh-CN"/>
                <w14:textFill>
                  <w14:solidFill>
                    <w14:schemeClr w14:val="tx1"/>
                  </w14:solidFill>
                </w14:textFill>
              </w:rPr>
              <w:t>9</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水平衡</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项目实行雨污分流，雨水排入市政雨水管网，生活污水经化粪池处理后定期清掏</w:t>
            </w:r>
            <w:r>
              <w:rPr>
                <w:rFonts w:hint="eastAsia" w:ascii="Times New Roman" w:hAnsi="Times New Roman" w:cs="宋体"/>
                <w:color w:val="000000" w:themeColor="text1"/>
                <w:kern w:val="0"/>
                <w:sz w:val="24"/>
                <w:lang w:bidi="ar"/>
                <w14:textFill>
                  <w14:solidFill>
                    <w14:schemeClr w14:val="tx1"/>
                  </w14:solidFill>
                </w14:textFill>
              </w:rPr>
              <w:t>用于周边农田施肥</w:t>
            </w:r>
            <w:r>
              <w:rPr>
                <w:rFonts w:hint="eastAsia" w:ascii="Times New Roman" w:hAnsi="Times New Roman" w:cs="宋体"/>
                <w:color w:val="000000" w:themeColor="text1"/>
                <w:kern w:val="0"/>
                <w:sz w:val="24"/>
                <w:lang w:val="en-US" w:eastAsia="zh-CN" w:bidi="ar"/>
                <w14:textFill>
                  <w14:solidFill>
                    <w14:schemeClr w14:val="tx1"/>
                  </w14:solidFill>
                </w14:textFill>
              </w:rPr>
              <w:t>；碱液喷淋塔废液收集后，定期交由有资质单位处理。</w:t>
            </w:r>
          </w:p>
          <w:p>
            <w:pPr>
              <w:keepLines w:val="0"/>
              <w:pageBreakBefore w:val="0"/>
              <w:widowControl/>
              <w:kinsoku/>
              <w:wordWrap w:val="0"/>
              <w:topLinePunct w:val="0"/>
              <w:bidi w:val="0"/>
              <w:adjustRightInd w:val="0"/>
              <w:spacing w:line="500" w:lineRule="exact"/>
              <w:ind w:firstLine="480" w:firstLineChars="200"/>
              <w:rPr>
                <w:rFonts w:hint="eastAsia" w:ascii="Times New Roman" w:hAnsi="Times New Roman"/>
                <w:color w:val="000000" w:themeColor="text1"/>
                <w:kern w:val="0"/>
                <w:sz w:val="24"/>
                <w:lang w:val="en-US" w:eastAsia="zh-CN" w:bidi="ar"/>
                <w14:textFill>
                  <w14:solidFill>
                    <w14:schemeClr w14:val="tx1"/>
                  </w14:solidFill>
                </w14:textFill>
              </w:rPr>
            </w:pPr>
            <w:r>
              <w:rPr>
                <w:rFonts w:hint="eastAsia" w:ascii="Times New Roman" w:hAnsi="Times New Roman"/>
                <w:color w:val="000000" w:themeColor="text1"/>
                <w:kern w:val="0"/>
                <w:sz w:val="24"/>
                <w:lang w:eastAsia="zh-CN" w:bidi="ar"/>
                <w14:textFill>
                  <w14:solidFill>
                    <w14:schemeClr w14:val="tx1"/>
                  </w14:solidFill>
                </w14:textFill>
              </w:rPr>
              <w:t>（</w:t>
            </w:r>
            <w:r>
              <w:rPr>
                <w:rFonts w:hint="eastAsia" w:ascii="Times New Roman" w:hAnsi="Times New Roman"/>
                <w:color w:val="000000" w:themeColor="text1"/>
                <w:kern w:val="0"/>
                <w:sz w:val="24"/>
                <w:lang w:val="en-US" w:eastAsia="zh-CN" w:bidi="ar"/>
                <w14:textFill>
                  <w14:solidFill>
                    <w14:schemeClr w14:val="tx1"/>
                  </w14:solidFill>
                </w14:textFill>
              </w:rPr>
              <w:t>1</w:t>
            </w:r>
            <w:r>
              <w:rPr>
                <w:rFonts w:hint="eastAsia" w:ascii="Times New Roman" w:hAnsi="Times New Roman"/>
                <w:color w:val="000000" w:themeColor="text1"/>
                <w:kern w:val="0"/>
                <w:sz w:val="24"/>
                <w:lang w:eastAsia="zh-CN" w:bidi="ar"/>
                <w14:textFill>
                  <w14:solidFill>
                    <w14:schemeClr w14:val="tx1"/>
                  </w14:solidFill>
                </w14:textFill>
              </w:rPr>
              <w:t>）</w:t>
            </w:r>
            <w:r>
              <w:rPr>
                <w:rFonts w:hint="eastAsia" w:ascii="Times New Roman" w:hAnsi="Times New Roman"/>
                <w:color w:val="000000" w:themeColor="text1"/>
                <w:kern w:val="0"/>
                <w:sz w:val="24"/>
                <w:lang w:val="en-US" w:eastAsia="zh-CN" w:bidi="ar"/>
                <w14:textFill>
                  <w14:solidFill>
                    <w14:schemeClr w14:val="tx1"/>
                  </w14:solidFill>
                </w14:textFill>
              </w:rPr>
              <w:t>生活污水</w:t>
            </w:r>
          </w:p>
          <w:p>
            <w:pPr>
              <w:keepLines w:val="0"/>
              <w:pageBreakBefore w:val="0"/>
              <w:widowControl/>
              <w:kinsoku/>
              <w:wordWrap w:val="0"/>
              <w:topLinePunct w:val="0"/>
              <w:bidi w:val="0"/>
              <w:adjustRightInd w:val="0"/>
              <w:spacing w:line="500" w:lineRule="exact"/>
              <w:ind w:firstLine="480" w:firstLineChars="200"/>
              <w:rPr>
                <w:rFonts w:hint="eastAsia" w:ascii="Times New Roman" w:hAnsi="Times New Roman"/>
                <w:color w:val="000000" w:themeColor="text1"/>
                <w:kern w:val="0"/>
                <w:sz w:val="24"/>
                <w:lang w:bidi="ar"/>
                <w14:textFill>
                  <w14:solidFill>
                    <w14:schemeClr w14:val="tx1"/>
                  </w14:solidFill>
                </w14:textFill>
              </w:rPr>
            </w:pPr>
            <w:r>
              <w:rPr>
                <w:rFonts w:hint="eastAsia" w:ascii="Times New Roman" w:hAnsi="Times New Roman"/>
                <w:color w:val="000000" w:themeColor="text1"/>
                <w:kern w:val="0"/>
                <w:sz w:val="24"/>
                <w:lang w:bidi="ar"/>
                <w14:textFill>
                  <w14:solidFill>
                    <w14:schemeClr w14:val="tx1"/>
                  </w14:solidFill>
                </w14:textFill>
              </w:rPr>
              <w:t>本项目营运期劳动定员为30人，均不在厂区食宿，全年工作360天</w:t>
            </w:r>
            <w:r>
              <w:rPr>
                <w:rFonts w:hint="eastAsia" w:ascii="Times New Roman" w:hAnsi="Times New Roman"/>
                <w:color w:val="000000" w:themeColor="text1"/>
                <w:kern w:val="0"/>
                <w:sz w:val="24"/>
                <w:lang w:eastAsia="zh-CN" w:bidi="ar"/>
                <w14:textFill>
                  <w14:solidFill>
                    <w14:schemeClr w14:val="tx1"/>
                  </w14:solidFill>
                </w14:textFill>
              </w:rPr>
              <w:t>，依据《建筑给水排水设计</w:t>
            </w:r>
            <w:r>
              <w:rPr>
                <w:rFonts w:hint="eastAsia" w:ascii="Times New Roman" w:hAnsi="Times New Roman"/>
                <w:color w:val="000000" w:themeColor="text1"/>
                <w:kern w:val="0"/>
                <w:sz w:val="24"/>
                <w:lang w:val="en-US" w:eastAsia="zh-CN" w:bidi="ar"/>
                <w14:textFill>
                  <w14:solidFill>
                    <w14:schemeClr w14:val="tx1"/>
                  </w14:solidFill>
                </w14:textFill>
              </w:rPr>
              <w:t>标准</w:t>
            </w:r>
            <w:r>
              <w:rPr>
                <w:rFonts w:hint="eastAsia" w:ascii="Times New Roman" w:hAnsi="Times New Roman"/>
                <w:color w:val="000000" w:themeColor="text1"/>
                <w:kern w:val="0"/>
                <w:sz w:val="24"/>
                <w:lang w:eastAsia="zh-CN" w:bidi="ar"/>
                <w14:textFill>
                  <w14:solidFill>
                    <w14:schemeClr w14:val="tx1"/>
                  </w14:solidFill>
                </w14:textFill>
              </w:rPr>
              <w:t>》（GB50015-20</w:t>
            </w:r>
            <w:r>
              <w:rPr>
                <w:rFonts w:hint="eastAsia" w:ascii="Times New Roman" w:hAnsi="Times New Roman"/>
                <w:color w:val="000000" w:themeColor="text1"/>
                <w:kern w:val="0"/>
                <w:sz w:val="24"/>
                <w:lang w:val="en-US" w:eastAsia="zh-CN" w:bidi="ar"/>
                <w14:textFill>
                  <w14:solidFill>
                    <w14:schemeClr w14:val="tx1"/>
                  </w14:solidFill>
                </w14:textFill>
              </w:rPr>
              <w:t>19</w:t>
            </w:r>
            <w:r>
              <w:rPr>
                <w:rFonts w:hint="eastAsia" w:ascii="Times New Roman" w:hAnsi="Times New Roman"/>
                <w:color w:val="000000" w:themeColor="text1"/>
                <w:kern w:val="0"/>
                <w:sz w:val="24"/>
                <w:lang w:eastAsia="zh-CN" w:bidi="ar"/>
                <w14:textFill>
                  <w14:solidFill>
                    <w14:schemeClr w14:val="tx1"/>
                  </w14:solidFill>
                </w14:textFill>
              </w:rPr>
              <w:t>），员工用水定额按35L/人·d核算，</w:t>
            </w:r>
            <w:r>
              <w:rPr>
                <w:rFonts w:hint="eastAsia" w:ascii="Times New Roman" w:hAnsi="Times New Roman"/>
                <w:color w:val="000000" w:themeColor="text1"/>
                <w:kern w:val="0"/>
                <w:sz w:val="24"/>
                <w:lang w:bidi="ar"/>
                <w14:textFill>
                  <w14:solidFill>
                    <w14:schemeClr w14:val="tx1"/>
                  </w14:solidFill>
                </w14:textFill>
              </w:rPr>
              <w:t>生活用水量为1.05m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hint="eastAsia" w:ascii="Times New Roman" w:hAnsi="Times New Roman"/>
                <w:color w:val="000000" w:themeColor="text1"/>
                <w:kern w:val="0"/>
                <w:sz w:val="24"/>
                <w:lang w:bidi="ar"/>
                <w14:textFill>
                  <w14:solidFill>
                    <w14:schemeClr w14:val="tx1"/>
                  </w14:solidFill>
                </w14:textFill>
              </w:rPr>
              <w:t>/d（378m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hint="eastAsia" w:ascii="Times New Roman" w:hAnsi="Times New Roman"/>
                <w:color w:val="000000" w:themeColor="text1"/>
                <w:kern w:val="0"/>
                <w:sz w:val="24"/>
                <w:lang w:bidi="ar"/>
                <w14:textFill>
                  <w14:solidFill>
                    <w14:schemeClr w14:val="tx1"/>
                  </w14:solidFill>
                </w14:textFill>
              </w:rPr>
              <w:t>/</w:t>
            </w:r>
            <w:r>
              <w:rPr>
                <w:rFonts w:hint="eastAsia" w:ascii="Times New Roman" w:hAnsi="Times New Roman"/>
                <w:color w:val="000000" w:themeColor="text1"/>
                <w:kern w:val="0"/>
                <w:sz w:val="24"/>
                <w:lang w:val="en-US" w:eastAsia="zh-CN" w:bidi="ar"/>
                <w14:textFill>
                  <w14:solidFill>
                    <w14:schemeClr w14:val="tx1"/>
                  </w14:solidFill>
                </w14:textFill>
              </w:rPr>
              <w:t>a</w:t>
            </w:r>
            <w:r>
              <w:rPr>
                <w:rFonts w:hint="eastAsia" w:ascii="Times New Roman" w:hAnsi="Times New Roman"/>
                <w:color w:val="000000" w:themeColor="text1"/>
                <w:kern w:val="0"/>
                <w:sz w:val="24"/>
                <w:lang w:bidi="ar"/>
                <w14:textFill>
                  <w14:solidFill>
                    <w14:schemeClr w14:val="tx1"/>
                  </w14:solidFill>
                </w14:textFill>
              </w:rPr>
              <w:t>），项目用水由市政自来水管网供给，可满足项目用水需要。项目污水产生系数按0.8核算，</w:t>
            </w:r>
            <w:r>
              <w:rPr>
                <w:rFonts w:hint="eastAsia" w:ascii="Times New Roman" w:hAnsi="Times New Roman"/>
                <w:color w:val="000000" w:themeColor="text1"/>
                <w:kern w:val="0"/>
                <w:sz w:val="24"/>
                <w:lang w:val="en-US" w:eastAsia="zh-CN" w:bidi="ar"/>
                <w14:textFill>
                  <w14:solidFill>
                    <w14:schemeClr w14:val="tx1"/>
                  </w14:solidFill>
                </w14:textFill>
              </w:rPr>
              <w:t>则</w:t>
            </w:r>
            <w:r>
              <w:rPr>
                <w:rFonts w:hint="eastAsia" w:ascii="Times New Roman" w:hAnsi="Times New Roman"/>
                <w:color w:val="000000" w:themeColor="text1"/>
                <w:kern w:val="0"/>
                <w:sz w:val="24"/>
                <w:lang w:bidi="ar"/>
                <w14:textFill>
                  <w14:solidFill>
                    <w14:schemeClr w14:val="tx1"/>
                  </w14:solidFill>
                </w14:textFill>
              </w:rPr>
              <w:t>生活污水产生量为0.84m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hint="eastAsia" w:ascii="Times New Roman" w:hAnsi="Times New Roman"/>
                <w:color w:val="000000" w:themeColor="text1"/>
                <w:kern w:val="0"/>
                <w:sz w:val="24"/>
                <w:lang w:bidi="ar"/>
                <w14:textFill>
                  <w14:solidFill>
                    <w14:schemeClr w14:val="tx1"/>
                  </w14:solidFill>
                </w14:textFill>
              </w:rPr>
              <w:t>/d（302</w:t>
            </w:r>
            <w:r>
              <w:rPr>
                <w:rFonts w:hint="eastAsia" w:ascii="Times New Roman" w:hAnsi="Times New Roman"/>
                <w:color w:val="000000" w:themeColor="text1"/>
                <w:kern w:val="0"/>
                <w:sz w:val="24"/>
                <w:lang w:val="en-US" w:eastAsia="zh-CN" w:bidi="ar"/>
                <w14:textFill>
                  <w14:solidFill>
                    <w14:schemeClr w14:val="tx1"/>
                  </w14:solidFill>
                </w14:textFill>
              </w:rPr>
              <w:t>.4</w:t>
            </w:r>
            <w:r>
              <w:rPr>
                <w:rFonts w:hint="eastAsia" w:ascii="Times New Roman" w:hAnsi="Times New Roman"/>
                <w:color w:val="000000" w:themeColor="text1"/>
                <w:kern w:val="0"/>
                <w:sz w:val="24"/>
                <w:lang w:bidi="ar"/>
                <w14:textFill>
                  <w14:solidFill>
                    <w14:schemeClr w14:val="tx1"/>
                  </w14:solidFill>
                </w14:textFill>
              </w:rPr>
              <w:t>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hint="eastAsia" w:ascii="Times New Roman" w:hAnsi="Times New Roman"/>
                <w:color w:val="000000" w:themeColor="text1"/>
                <w:kern w:val="0"/>
                <w:sz w:val="24"/>
                <w:lang w:bidi="ar"/>
                <w14:textFill>
                  <w14:solidFill>
                    <w14:schemeClr w14:val="tx1"/>
                  </w14:solidFill>
                </w14:textFill>
              </w:rPr>
              <w:t>/a）</w:t>
            </w:r>
            <w:r>
              <w:rPr>
                <w:rFonts w:hint="eastAsia" w:ascii="Times New Roman" w:hAnsi="Times New Roman"/>
                <w:color w:val="000000" w:themeColor="text1"/>
                <w:kern w:val="0"/>
                <w:sz w:val="24"/>
                <w:lang w:eastAsia="zh-CN" w:bidi="ar"/>
                <w14:textFill>
                  <w14:solidFill>
                    <w14:schemeClr w14:val="tx1"/>
                  </w14:solidFill>
                </w14:textFill>
              </w:rPr>
              <w:t>，</w:t>
            </w:r>
            <w:r>
              <w:rPr>
                <w:rFonts w:hint="eastAsia" w:ascii="Times New Roman" w:hAnsi="Times New Roman" w:cs="宋体"/>
                <w:color w:val="000000" w:themeColor="text1"/>
                <w:kern w:val="0"/>
                <w:sz w:val="24"/>
                <w:lang w:bidi="ar"/>
                <w14:textFill>
                  <w14:solidFill>
                    <w14:schemeClr w14:val="tx1"/>
                  </w14:solidFill>
                </w14:textFill>
              </w:rPr>
              <w:t>依托黄洋铜业有限公司现有化粪池处理后定期清掏，用于周边农田施肥</w:t>
            </w:r>
            <w:r>
              <w:rPr>
                <w:rFonts w:hint="eastAsia" w:ascii="Times New Roman" w:hAnsi="Times New Roman"/>
                <w:color w:val="000000" w:themeColor="text1"/>
                <w:kern w:val="0"/>
                <w:sz w:val="24"/>
                <w:lang w:bidi="ar"/>
                <w14:textFill>
                  <w14:solidFill>
                    <w14:schemeClr w14:val="tx1"/>
                  </w14:solidFill>
                </w14:textFill>
              </w:rPr>
              <w:t>。</w:t>
            </w:r>
          </w:p>
          <w:p>
            <w:pPr>
              <w:keepLines w:val="0"/>
              <w:pageBreakBefore w:val="0"/>
              <w:widowControl/>
              <w:kinsoku/>
              <w:wordWrap w:val="0"/>
              <w:topLinePunct w:val="0"/>
              <w:bidi w:val="0"/>
              <w:adjustRightInd w:val="0"/>
              <w:spacing w:line="500" w:lineRule="exact"/>
              <w:ind w:firstLine="480" w:firstLineChars="200"/>
              <w:rPr>
                <w:rFonts w:hint="eastAsia" w:ascii="Times New Roman" w:hAnsi="Times New Roman"/>
                <w:color w:val="000000" w:themeColor="text1"/>
                <w:kern w:val="0"/>
                <w:sz w:val="24"/>
                <w:lang w:val="en-US" w:eastAsia="zh-CN" w:bidi="ar"/>
                <w14:textFill>
                  <w14:solidFill>
                    <w14:schemeClr w14:val="tx1"/>
                  </w14:solidFill>
                </w14:textFill>
              </w:rPr>
            </w:pPr>
            <w:r>
              <w:rPr>
                <w:rFonts w:hint="eastAsia" w:ascii="Times New Roman" w:hAnsi="Times New Roman"/>
                <w:color w:val="000000" w:themeColor="text1"/>
                <w:kern w:val="0"/>
                <w:sz w:val="24"/>
                <w:lang w:eastAsia="zh-CN" w:bidi="ar"/>
                <w14:textFill>
                  <w14:solidFill>
                    <w14:schemeClr w14:val="tx1"/>
                  </w14:solidFill>
                </w14:textFill>
              </w:rPr>
              <w:t>（</w:t>
            </w:r>
            <w:r>
              <w:rPr>
                <w:rFonts w:hint="eastAsia" w:ascii="Times New Roman" w:hAnsi="Times New Roman"/>
                <w:color w:val="000000" w:themeColor="text1"/>
                <w:kern w:val="0"/>
                <w:sz w:val="24"/>
                <w:lang w:val="en-US" w:eastAsia="zh-CN" w:bidi="ar"/>
                <w14:textFill>
                  <w14:solidFill>
                    <w14:schemeClr w14:val="tx1"/>
                  </w14:solidFill>
                </w14:textFill>
              </w:rPr>
              <w:t>2</w:t>
            </w:r>
            <w:r>
              <w:rPr>
                <w:rFonts w:hint="eastAsia" w:ascii="Times New Roman" w:hAnsi="Times New Roman"/>
                <w:color w:val="000000" w:themeColor="text1"/>
                <w:kern w:val="0"/>
                <w:sz w:val="24"/>
                <w:lang w:eastAsia="zh-CN" w:bidi="ar"/>
                <w14:textFill>
                  <w14:solidFill>
                    <w14:schemeClr w14:val="tx1"/>
                  </w14:solidFill>
                </w14:textFill>
              </w:rPr>
              <w:t>）</w:t>
            </w:r>
            <w:r>
              <w:rPr>
                <w:rFonts w:hint="eastAsia" w:ascii="Times New Roman" w:hAnsi="Times New Roman"/>
                <w:color w:val="000000" w:themeColor="text1"/>
                <w:kern w:val="0"/>
                <w:sz w:val="24"/>
                <w:lang w:val="en-US" w:eastAsia="zh-CN" w:bidi="ar"/>
                <w14:textFill>
                  <w14:solidFill>
                    <w14:schemeClr w14:val="tx1"/>
                  </w14:solidFill>
                </w14:textFill>
              </w:rPr>
              <w:t>碱液喷淋塔用水</w:t>
            </w:r>
          </w:p>
          <w:p>
            <w:pPr>
              <w:keepLines w:val="0"/>
              <w:pageBreakBefore w:val="0"/>
              <w:widowControl/>
              <w:kinsoku/>
              <w:wordWrap w:val="0"/>
              <w:topLinePunct w:val="0"/>
              <w:bidi w:val="0"/>
              <w:adjustRightInd w:val="0"/>
              <w:spacing w:line="500" w:lineRule="exact"/>
              <w:ind w:firstLine="480" w:firstLineChars="200"/>
              <w:rPr>
                <w:rFonts w:hint="eastAsia" w:ascii="Times New Roman" w:hAnsi="Times New Roman" w:cs="宋体"/>
                <w:color w:val="000000" w:themeColor="text1"/>
                <w:kern w:val="0"/>
                <w:sz w:val="24"/>
                <w:lang w:eastAsia="zh-CN" w:bidi="ar"/>
                <w14:textFill>
                  <w14:solidFill>
                    <w14:schemeClr w14:val="tx1"/>
                  </w14:solidFill>
                </w14:textFill>
              </w:rPr>
            </w:pPr>
            <w:r>
              <w:rPr>
                <w:rFonts w:hint="eastAsia" w:ascii="Times New Roman" w:hAnsi="Times New Roman" w:cs="宋体"/>
                <w:color w:val="000000" w:themeColor="text1"/>
                <w:kern w:val="0"/>
                <w:sz w:val="24"/>
                <w:lang w:bidi="ar"/>
                <w14:textFill>
                  <w14:solidFill>
                    <w14:schemeClr w14:val="tx1"/>
                  </w14:solidFill>
                </w14:textFill>
              </w:rPr>
              <w:t>本项目回收的废旧铅酸蓄电池中会有部分破损蓄电池，破损废旧铅酸蓄电池在暂存过程中泄漏出的电解液会挥发少量的硫酸雾。项目设置1座</w:t>
            </w:r>
            <w:r>
              <w:rPr>
                <w:rFonts w:hint="eastAsia" w:ascii="Times New Roman" w:hAnsi="Times New Roman" w:cs="宋体"/>
                <w:color w:val="000000" w:themeColor="text1"/>
                <w:kern w:val="0"/>
                <w:sz w:val="24"/>
                <w:lang w:val="en-US" w:eastAsia="zh-CN" w:bidi="ar"/>
                <w14:textFill>
                  <w14:solidFill>
                    <w14:schemeClr w14:val="tx1"/>
                  </w14:solidFill>
                </w14:textFill>
              </w:rPr>
              <w:t>碱液</w:t>
            </w:r>
            <w:r>
              <w:rPr>
                <w:rFonts w:hint="eastAsia" w:ascii="Times New Roman" w:hAnsi="Times New Roman" w:cs="宋体"/>
                <w:color w:val="000000" w:themeColor="text1"/>
                <w:kern w:val="0"/>
                <w:sz w:val="24"/>
                <w:lang w:bidi="ar"/>
                <w14:textFill>
                  <w14:solidFill>
                    <w14:schemeClr w14:val="tx1"/>
                  </w14:solidFill>
                </w14:textFill>
              </w:rPr>
              <w:t>喷淋塔，根据</w:t>
            </w:r>
            <w:r>
              <w:rPr>
                <w:rFonts w:hint="eastAsia" w:ascii="Times New Roman" w:hAnsi="Times New Roman" w:cs="宋体"/>
                <w:color w:val="000000" w:themeColor="text1"/>
                <w:kern w:val="0"/>
                <w:sz w:val="24"/>
                <w:lang w:val="en-US" w:eastAsia="zh-CN" w:bidi="ar"/>
                <w14:textFill>
                  <w14:solidFill>
                    <w14:schemeClr w14:val="tx1"/>
                  </w14:solidFill>
                </w14:textFill>
              </w:rPr>
              <w:t>企业提供的</w:t>
            </w:r>
            <w:r>
              <w:rPr>
                <w:rFonts w:hint="eastAsia" w:ascii="Times New Roman" w:hAnsi="Times New Roman" w:cs="宋体"/>
                <w:color w:val="000000" w:themeColor="text1"/>
                <w:kern w:val="0"/>
                <w:sz w:val="24"/>
                <w:lang w:bidi="ar"/>
                <w14:textFill>
                  <w14:solidFill>
                    <w14:schemeClr w14:val="tx1"/>
                  </w14:solidFill>
                </w14:textFill>
              </w:rPr>
              <w:t>设计资料，</w:t>
            </w:r>
            <w:r>
              <w:rPr>
                <w:rFonts w:hint="eastAsia" w:ascii="Times New Roman" w:hAnsi="Times New Roman" w:cs="宋体"/>
                <w:color w:val="000000" w:themeColor="text1"/>
                <w:kern w:val="0"/>
                <w:sz w:val="24"/>
                <w:lang w:val="en-US" w:eastAsia="zh-CN" w:bidi="ar"/>
                <w14:textFill>
                  <w14:solidFill>
                    <w14:schemeClr w14:val="tx1"/>
                  </w14:solidFill>
                </w14:textFill>
              </w:rPr>
              <w:t>碱液</w:t>
            </w:r>
            <w:r>
              <w:rPr>
                <w:rFonts w:hint="eastAsia" w:ascii="Times New Roman" w:hAnsi="Times New Roman" w:cs="宋体"/>
                <w:color w:val="000000" w:themeColor="text1"/>
                <w:kern w:val="0"/>
                <w:sz w:val="24"/>
                <w:lang w:bidi="ar"/>
                <w14:textFill>
                  <w14:solidFill>
                    <w14:schemeClr w14:val="tx1"/>
                  </w14:solidFill>
                </w14:textFill>
              </w:rPr>
              <w:t>喷淋塔配套</w:t>
            </w:r>
            <w:r>
              <w:rPr>
                <w:rFonts w:ascii="Times New Roman" w:hAnsi="Times New Roman"/>
                <w:color w:val="000000" w:themeColor="text1"/>
                <w:kern w:val="0"/>
                <w:sz w:val="24"/>
                <w:lang w:bidi="ar"/>
                <w14:textFill>
                  <w14:solidFill>
                    <w14:schemeClr w14:val="tx1"/>
                  </w14:solidFill>
                </w14:textFill>
              </w:rPr>
              <w:t>1m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hint="eastAsia" w:ascii="Times New Roman" w:hAnsi="Times New Roman" w:cs="宋体"/>
                <w:color w:val="000000" w:themeColor="text1"/>
                <w:kern w:val="0"/>
                <w:sz w:val="24"/>
                <w:lang w:bidi="ar"/>
                <w14:textFill>
                  <w14:solidFill>
                    <w14:schemeClr w14:val="tx1"/>
                  </w14:solidFill>
                </w14:textFill>
              </w:rPr>
              <w:t>循环水箱，循环量为</w:t>
            </w:r>
            <w:r>
              <w:rPr>
                <w:rFonts w:ascii="Times New Roman" w:hAnsi="Times New Roman"/>
                <w:color w:val="000000" w:themeColor="text1"/>
                <w:kern w:val="0"/>
                <w:sz w:val="24"/>
                <w:lang w:bidi="ar"/>
                <w14:textFill>
                  <w14:solidFill>
                    <w14:schemeClr w14:val="tx1"/>
                  </w14:solidFill>
                </w14:textFill>
              </w:rPr>
              <w:t>80m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ascii="Times New Roman" w:hAnsi="Times New Roman"/>
                <w:color w:val="000000" w:themeColor="text1"/>
                <w:kern w:val="0"/>
                <w:sz w:val="24"/>
                <w:lang w:bidi="ar"/>
                <w14:textFill>
                  <w14:solidFill>
                    <w14:schemeClr w14:val="tx1"/>
                  </w14:solidFill>
                </w14:textFill>
              </w:rPr>
              <w:t>/d</w:t>
            </w:r>
            <w:r>
              <w:rPr>
                <w:rFonts w:hint="eastAsia" w:ascii="Times New Roman" w:hAnsi="Times New Roman"/>
                <w:color w:val="000000" w:themeColor="text1"/>
                <w:kern w:val="0"/>
                <w:sz w:val="24"/>
                <w:lang w:eastAsia="zh-CN" w:bidi="ar"/>
                <w14:textFill>
                  <w14:solidFill>
                    <w14:schemeClr w14:val="tx1"/>
                  </w14:solidFill>
                </w14:textFill>
              </w:rPr>
              <w:t>，</w:t>
            </w:r>
            <w:r>
              <w:rPr>
                <w:rFonts w:hint="eastAsia" w:ascii="Times New Roman" w:hAnsi="Times New Roman" w:cs="宋体"/>
                <w:color w:val="000000" w:themeColor="text1"/>
                <w:kern w:val="0"/>
                <w:sz w:val="24"/>
                <w:lang w:bidi="ar"/>
                <w14:textFill>
                  <w14:solidFill>
                    <w14:schemeClr w14:val="tx1"/>
                  </w14:solidFill>
                </w14:textFill>
              </w:rPr>
              <w:t>补充水量为</w:t>
            </w:r>
            <w:r>
              <w:rPr>
                <w:rFonts w:hint="eastAsia" w:ascii="Times New Roman" w:hAnsi="Times New Roman"/>
                <w:color w:val="000000" w:themeColor="text1"/>
                <w:kern w:val="0"/>
                <w:sz w:val="24"/>
                <w:lang w:val="en-US" w:eastAsia="zh-CN" w:bidi="ar"/>
                <w14:textFill>
                  <w14:solidFill>
                    <w14:schemeClr w14:val="tx1"/>
                  </w14:solidFill>
                </w14:textFill>
              </w:rPr>
              <w:t>3.6</w:t>
            </w:r>
            <w:r>
              <w:rPr>
                <w:rFonts w:ascii="Times New Roman" w:hAnsi="Times New Roman"/>
                <w:color w:val="000000" w:themeColor="text1"/>
                <w:kern w:val="0"/>
                <w:sz w:val="24"/>
                <w:lang w:bidi="ar"/>
                <w14:textFill>
                  <w14:solidFill>
                    <w14:schemeClr w14:val="tx1"/>
                  </w14:solidFill>
                </w14:textFill>
              </w:rPr>
              <w:t>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ascii="Times New Roman" w:hAnsi="Times New Roman"/>
                <w:color w:val="000000" w:themeColor="text1"/>
                <w:kern w:val="0"/>
                <w:sz w:val="24"/>
                <w:lang w:bidi="ar"/>
                <w14:textFill>
                  <w14:solidFill>
                    <w14:schemeClr w14:val="tx1"/>
                  </w14:solidFill>
                </w14:textFill>
              </w:rPr>
              <w:t>/</w:t>
            </w:r>
            <w:r>
              <w:rPr>
                <w:rFonts w:hint="eastAsia" w:ascii="Times New Roman" w:hAnsi="Times New Roman"/>
                <w:color w:val="000000" w:themeColor="text1"/>
                <w:kern w:val="0"/>
                <w:sz w:val="24"/>
                <w:lang w:val="en-US" w:eastAsia="zh-CN" w:bidi="ar"/>
                <w14:textFill>
                  <w14:solidFill>
                    <w14:schemeClr w14:val="tx1"/>
                  </w14:solidFill>
                </w14:textFill>
              </w:rPr>
              <w:t>a，</w:t>
            </w:r>
            <w:r>
              <w:rPr>
                <w:rFonts w:hint="eastAsia" w:ascii="Times New Roman" w:hAnsi="Times New Roman"/>
                <w:color w:val="000000" w:themeColor="text1"/>
                <w:kern w:val="0"/>
                <w:sz w:val="24"/>
                <w:lang w:eastAsia="zh-CN" w:bidi="ar"/>
                <w14:textFill>
                  <w14:solidFill>
                    <w14:schemeClr w14:val="tx1"/>
                  </w14:solidFill>
                </w14:textFill>
              </w:rPr>
              <w:t>由供水管网供给</w:t>
            </w:r>
            <w:r>
              <w:rPr>
                <w:rFonts w:hint="eastAsia" w:ascii="Times New Roman" w:hAnsi="Times New Roman" w:cs="宋体"/>
                <w:color w:val="000000" w:themeColor="text1"/>
                <w:kern w:val="0"/>
                <w:sz w:val="24"/>
                <w:lang w:bidi="ar"/>
                <w14:textFill>
                  <w14:solidFill>
                    <w14:schemeClr w14:val="tx1"/>
                  </w14:solidFill>
                </w14:textFill>
              </w:rPr>
              <w:t>。喷淋循环过程损耗</w:t>
            </w:r>
            <w:r>
              <w:rPr>
                <w:rFonts w:hint="eastAsia" w:ascii="Times New Roman" w:hAnsi="Times New Roman" w:cs="宋体"/>
                <w:color w:val="000000" w:themeColor="text1"/>
                <w:kern w:val="0"/>
                <w:sz w:val="24"/>
                <w:lang w:val="en-US" w:eastAsia="zh-CN" w:bidi="ar"/>
                <w14:textFill>
                  <w14:solidFill>
                    <w14:schemeClr w14:val="tx1"/>
                  </w14:solidFill>
                </w14:textFill>
              </w:rPr>
              <w:t>水量约</w:t>
            </w:r>
            <w:r>
              <w:rPr>
                <w:rFonts w:hint="eastAsia" w:ascii="Times New Roman" w:hAnsi="Times New Roman"/>
                <w:color w:val="000000" w:themeColor="text1"/>
                <w:kern w:val="0"/>
                <w:sz w:val="24"/>
                <w:lang w:val="en-US" w:eastAsia="zh-CN" w:bidi="ar"/>
                <w14:textFill>
                  <w14:solidFill>
                    <w14:schemeClr w14:val="tx1"/>
                  </w14:solidFill>
                </w14:textFill>
              </w:rPr>
              <w:t>75</w:t>
            </w:r>
            <w:r>
              <w:rPr>
                <w:rFonts w:ascii="Times New Roman" w:hAnsi="Times New Roman"/>
                <w:color w:val="000000" w:themeColor="text1"/>
                <w:kern w:val="0"/>
                <w:sz w:val="24"/>
                <w:lang w:bidi="ar"/>
                <w14:textFill>
                  <w14:solidFill>
                    <w14:schemeClr w14:val="tx1"/>
                  </w14:solidFill>
                </w14:textFill>
              </w:rPr>
              <w:t>%</w:t>
            </w:r>
            <w:r>
              <w:rPr>
                <w:rFonts w:hint="eastAsia" w:ascii="Times New Roman" w:hAnsi="Times New Roman" w:cs="宋体"/>
                <w:color w:val="000000" w:themeColor="text1"/>
                <w:kern w:val="0"/>
                <w:sz w:val="24"/>
                <w:lang w:bidi="ar"/>
                <w14:textFill>
                  <w14:solidFill>
                    <w14:schemeClr w14:val="tx1"/>
                  </w14:solidFill>
                </w14:textFill>
              </w:rPr>
              <w:t>，则喷淋塔废液产生量为</w:t>
            </w:r>
            <w:r>
              <w:rPr>
                <w:rFonts w:ascii="Times New Roman" w:hAnsi="Times New Roman"/>
                <w:color w:val="000000" w:themeColor="text1"/>
                <w:kern w:val="0"/>
                <w:sz w:val="24"/>
                <w:lang w:bidi="ar"/>
                <w14:textFill>
                  <w14:solidFill>
                    <w14:schemeClr w14:val="tx1"/>
                  </w14:solidFill>
                </w14:textFill>
              </w:rPr>
              <w:t>0.</w:t>
            </w:r>
            <w:r>
              <w:rPr>
                <w:rFonts w:hint="eastAsia" w:ascii="Times New Roman" w:hAnsi="Times New Roman"/>
                <w:color w:val="000000" w:themeColor="text1"/>
                <w:kern w:val="0"/>
                <w:sz w:val="24"/>
                <w:lang w:val="en-US" w:eastAsia="zh-CN" w:bidi="ar"/>
                <w14:textFill>
                  <w14:solidFill>
                    <w14:schemeClr w14:val="tx1"/>
                  </w14:solidFill>
                </w14:textFill>
              </w:rPr>
              <w:t>9</w:t>
            </w:r>
            <w:r>
              <w:rPr>
                <w:rFonts w:ascii="Times New Roman" w:hAnsi="Times New Roman"/>
                <w:color w:val="000000" w:themeColor="text1"/>
                <w:kern w:val="0"/>
                <w:sz w:val="24"/>
                <w:lang w:bidi="ar"/>
                <w14:textFill>
                  <w14:solidFill>
                    <w14:schemeClr w14:val="tx1"/>
                  </w14:solidFill>
                </w14:textFill>
              </w:rPr>
              <w:t>m</w:t>
            </w:r>
            <w:r>
              <w:rPr>
                <w:rFonts w:hint="eastAsia" w:ascii="Times New Roman" w:hAnsi="Times New Roman"/>
                <w:color w:val="000000" w:themeColor="text1"/>
                <w:kern w:val="0"/>
                <w:sz w:val="24"/>
                <w:vertAlign w:val="superscript"/>
                <w:lang w:bidi="ar"/>
                <w14:textFill>
                  <w14:solidFill>
                    <w14:schemeClr w14:val="tx1"/>
                  </w14:solidFill>
                </w14:textFill>
              </w:rPr>
              <w:t>3</w:t>
            </w:r>
            <w:r>
              <w:rPr>
                <w:rFonts w:ascii="Times New Roman" w:hAnsi="Times New Roman"/>
                <w:color w:val="000000" w:themeColor="text1"/>
                <w:kern w:val="0"/>
                <w:sz w:val="24"/>
                <w:lang w:bidi="ar"/>
                <w14:textFill>
                  <w14:solidFill>
                    <w14:schemeClr w14:val="tx1"/>
                  </w14:solidFill>
                </w14:textFill>
              </w:rPr>
              <w:t>/a</w:t>
            </w:r>
            <w:r>
              <w:rPr>
                <w:rFonts w:hint="eastAsia" w:ascii="Times New Roman" w:hAnsi="Times New Roman" w:cs="宋体"/>
                <w:color w:val="000000" w:themeColor="text1"/>
                <w:kern w:val="0"/>
                <w:sz w:val="24"/>
                <w:lang w:bidi="ar"/>
                <w14:textFill>
                  <w14:solidFill>
                    <w14:schemeClr w14:val="tx1"/>
                  </w14:solidFill>
                </w14:textFill>
              </w:rPr>
              <w:t>，喷淋塔废液作为危废</w:t>
            </w:r>
            <w:r>
              <w:rPr>
                <w:rFonts w:hint="eastAsia" w:ascii="Times New Roman" w:hAnsi="Times New Roman" w:cs="宋体"/>
                <w:color w:val="000000" w:themeColor="text1"/>
                <w:kern w:val="0"/>
                <w:sz w:val="24"/>
                <w:lang w:val="en-US" w:eastAsia="zh-CN" w:bidi="ar"/>
                <w14:textFill>
                  <w14:solidFill>
                    <w14:schemeClr w14:val="tx1"/>
                  </w14:solidFill>
                </w14:textFill>
              </w:rPr>
              <w:t>收集后，定期</w:t>
            </w:r>
            <w:r>
              <w:rPr>
                <w:rFonts w:hint="eastAsia" w:ascii="Times New Roman" w:hAnsi="Times New Roman" w:cs="宋体"/>
                <w:color w:val="000000" w:themeColor="text1"/>
                <w:kern w:val="0"/>
                <w:sz w:val="24"/>
                <w:lang w:bidi="ar"/>
                <w14:textFill>
                  <w14:solidFill>
                    <w14:schemeClr w14:val="tx1"/>
                  </w14:solidFill>
                </w14:textFill>
              </w:rPr>
              <w:t>交有资质单位进行处置</w:t>
            </w:r>
            <w:r>
              <w:rPr>
                <w:rFonts w:hint="eastAsia" w:ascii="Times New Roman" w:hAnsi="Times New Roman" w:cs="宋体"/>
                <w:color w:val="000000" w:themeColor="text1"/>
                <w:kern w:val="0"/>
                <w:sz w:val="24"/>
                <w:lang w:eastAsia="zh-CN" w:bidi="ar"/>
                <w14:textFill>
                  <w14:solidFill>
                    <w14:schemeClr w14:val="tx1"/>
                  </w14:solidFill>
                </w14:textFill>
              </w:rPr>
              <w:t>。</w:t>
            </w:r>
          </w:p>
          <w:p>
            <w:pPr>
              <w:keepLines w:val="0"/>
              <w:pageBreakBefore w:val="0"/>
              <w:widowControl/>
              <w:kinsoku/>
              <w:wordWrap w:val="0"/>
              <w:topLinePunct w:val="0"/>
              <w:bidi w:val="0"/>
              <w:adjustRightInd w:val="0"/>
              <w:spacing w:line="240" w:lineRule="auto"/>
              <w:ind w:firstLine="480" w:firstLineChars="200"/>
              <w:rPr>
                <w:rFonts w:hint="eastAsia" w:ascii="Times New Roman" w:hAnsi="Times New Roman" w:cs="宋体"/>
                <w:color w:val="000000" w:themeColor="text1"/>
                <w:kern w:val="0"/>
                <w:sz w:val="24"/>
                <w:lang w:val="en-US" w:eastAsia="zh-CN" w:bidi="ar"/>
                <w14:textFill>
                  <w14:solidFill>
                    <w14:schemeClr w14:val="tx1"/>
                  </w14:solidFill>
                </w14:textFill>
              </w:rPr>
            </w:pPr>
            <w:r>
              <w:rPr>
                <w:rFonts w:hint="eastAsia" w:ascii="Times New Roman" w:hAnsi="Times New Roman" w:cs="宋体"/>
                <w:color w:val="000000" w:themeColor="text1"/>
                <w:kern w:val="0"/>
                <w:sz w:val="24"/>
                <w:lang w:val="en-US" w:eastAsia="zh-CN" w:bidi="ar"/>
                <w14:textFill>
                  <w14:solidFill>
                    <w14:schemeClr w14:val="tx1"/>
                  </w14:solidFill>
                </w14:textFill>
              </w:rPr>
              <w:t>本项目水平衡图详见下图。</w:t>
            </w:r>
          </w:p>
          <w:p>
            <w:pPr>
              <w:keepNext w:val="0"/>
              <w:keepLines w:val="0"/>
              <w:pageBreakBefore w:val="0"/>
              <w:widowControl/>
              <w:kinsoku/>
              <w:wordWrap w:val="0"/>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color w:val="000000" w:themeColor="text1"/>
                <w:kern w:val="0"/>
                <w:sz w:val="24"/>
                <w:lang w:val="en-US" w:eastAsia="zh-CN" w:bidi="ar"/>
                <w14:textFill>
                  <w14:solidFill>
                    <w14:schemeClr w14:val="tx1"/>
                  </w14:solidFill>
                </w14:textFill>
              </w:rPr>
            </w:pPr>
            <w:r>
              <w:rPr>
                <w:rFonts w:hint="default" w:ascii="Times New Roman" w:hAnsi="Times New Roman" w:eastAsia="宋体"/>
                <w:color w:val="000000" w:themeColor="text1"/>
                <w:kern w:val="0"/>
                <w:sz w:val="24"/>
                <w:lang w:val="en-US" w:eastAsia="zh-CN" w:bidi="ar"/>
                <w14:textFill>
                  <w14:solidFill>
                    <w14:schemeClr w14:val="tx1"/>
                  </w14:solidFill>
                </w14:textFill>
              </w:rPr>
              <w:drawing>
                <wp:inline distT="0" distB="0" distL="114300" distR="114300">
                  <wp:extent cx="5416550" cy="1924685"/>
                  <wp:effectExtent l="0" t="0" r="8890" b="10795"/>
                  <wp:docPr id="2" name="图片 65" descr="水平衡"/>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65" descr="水平衡"/>
                          <pic:cNvPicPr>
                            <a:picLocks noChangeAspect="1"/>
                          </pic:cNvPicPr>
                        </pic:nvPicPr>
                        <pic:blipFill>
                          <a:blip r:embed="rId12"/>
                          <a:stretch>
                            <a:fillRect/>
                          </a:stretch>
                        </pic:blipFill>
                        <pic:spPr>
                          <a:xfrm>
                            <a:off x="0" y="0"/>
                            <a:ext cx="5416550" cy="1924685"/>
                          </a:xfrm>
                          <a:prstGeom prst="rect">
                            <a:avLst/>
                          </a:prstGeom>
                          <a:noFill/>
                          <a:ln>
                            <a:noFill/>
                          </a:ln>
                        </pic:spPr>
                      </pic:pic>
                    </a:graphicData>
                  </a:graphic>
                </wp:inline>
              </w:drawing>
            </w:r>
          </w:p>
          <w:p>
            <w:pPr>
              <w:keepNext w:val="0"/>
              <w:keepLines w:val="0"/>
              <w:pageBreakBefore w:val="0"/>
              <w:widowControl/>
              <w:kinsoku/>
              <w:wordWrap w:val="0"/>
              <w:overflowPunct/>
              <w:topLinePunct w:val="0"/>
              <w:autoSpaceDE/>
              <w:autoSpaceDN/>
              <w:bidi w:val="0"/>
              <w:adjustRightInd w:val="0"/>
              <w:snapToGrid/>
              <w:spacing w:line="240" w:lineRule="auto"/>
              <w:ind w:firstLine="0" w:firstLineChars="0"/>
              <w:jc w:val="center"/>
              <w:textAlignment w:val="auto"/>
              <w:rPr>
                <w:rFonts w:hint="default" w:ascii="Times New Roman" w:hAnsi="Times New Roman" w:eastAsia="宋体"/>
                <w:b/>
                <w:bCs/>
                <w:color w:val="000000" w:themeColor="text1"/>
                <w:kern w:val="0"/>
                <w:sz w:val="21"/>
                <w:szCs w:val="21"/>
                <w:lang w:val="en-US" w:eastAsia="zh-CN" w:bidi="ar"/>
                <w14:textFill>
                  <w14:solidFill>
                    <w14:schemeClr w14:val="tx1"/>
                  </w14:solidFill>
                </w14:textFill>
              </w:rPr>
            </w:pPr>
            <w:r>
              <w:rPr>
                <w:rFonts w:hint="eastAsia" w:ascii="Times New Roman" w:hAnsi="Times New Roman"/>
                <w:b/>
                <w:bCs/>
                <w:color w:val="000000" w:themeColor="text1"/>
                <w:kern w:val="0"/>
                <w:sz w:val="21"/>
                <w:szCs w:val="21"/>
                <w:lang w:val="en-US" w:eastAsia="zh-CN" w:bidi="ar"/>
                <w14:textFill>
                  <w14:solidFill>
                    <w14:schemeClr w14:val="tx1"/>
                  </w14:solidFill>
                </w14:textFill>
              </w:rPr>
              <w:t>图2-1   本项目水平衡图（m</w:t>
            </w:r>
            <w:r>
              <w:rPr>
                <w:rFonts w:hint="eastAsia" w:ascii="Times New Roman" w:hAnsi="Times New Roman"/>
                <w:b/>
                <w:bCs/>
                <w:color w:val="000000" w:themeColor="text1"/>
                <w:kern w:val="0"/>
                <w:sz w:val="21"/>
                <w:szCs w:val="21"/>
                <w:vertAlign w:val="superscript"/>
                <w:lang w:val="en-US" w:eastAsia="zh-CN" w:bidi="ar"/>
                <w14:textFill>
                  <w14:solidFill>
                    <w14:schemeClr w14:val="tx1"/>
                  </w14:solidFill>
                </w14:textFill>
              </w:rPr>
              <w:t>3</w:t>
            </w:r>
            <w:r>
              <w:rPr>
                <w:rFonts w:hint="eastAsia" w:ascii="Times New Roman" w:hAnsi="Times New Roman"/>
                <w:b/>
                <w:bCs/>
                <w:color w:val="000000" w:themeColor="text1"/>
                <w:kern w:val="0"/>
                <w:sz w:val="21"/>
                <w:szCs w:val="21"/>
                <w:lang w:val="en-US" w:eastAsia="zh-CN" w:bidi="ar"/>
                <w14:textFill>
                  <w14:solidFill>
                    <w14:schemeClr w14:val="tx1"/>
                  </w14:solidFill>
                </w14:textFill>
              </w:rPr>
              <w:t>/a）</w:t>
            </w:r>
          </w:p>
          <w:p>
            <w:pPr>
              <w:keepNext w:val="0"/>
              <w:keepLines w:val="0"/>
              <w:pageBreakBefore w:val="0"/>
              <w:widowControl/>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2.</w:t>
            </w:r>
            <w:r>
              <w:rPr>
                <w:rFonts w:hint="eastAsia" w:cs="Times New Roman"/>
                <w:b/>
                <w:bCs/>
                <w:color w:val="000000" w:themeColor="text1"/>
                <w:sz w:val="24"/>
                <w:szCs w:val="24"/>
                <w:highlight w:val="none"/>
                <w:u w:val="none"/>
                <w:lang w:val="en-US" w:eastAsia="zh-CN"/>
                <w14:textFill>
                  <w14:solidFill>
                    <w14:schemeClr w14:val="tx1"/>
                  </w14:solidFill>
                </w14:textFill>
              </w:rPr>
              <w:t>10</w:t>
            </w:r>
            <w:r>
              <w:rPr>
                <w:rFonts w:hint="eastAsia" w:ascii="Times New Roman" w:hAnsi="Times New Roman" w:eastAsia="宋体" w:cs="Times New Roman"/>
                <w:b/>
                <w:bCs/>
                <w:color w:val="000000" w:themeColor="text1"/>
                <w:sz w:val="24"/>
                <w:szCs w:val="24"/>
                <w:highlight w:val="none"/>
                <w:u w:val="none"/>
                <w:lang w:val="en-US" w:eastAsia="zh-CN"/>
                <w14:textFill>
                  <w14:solidFill>
                    <w14:schemeClr w14:val="tx1"/>
                  </w14:solidFill>
                </w14:textFill>
              </w:rPr>
              <w:t>项目厂区平面布局图</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根据项目平面布局图，本项目各类危险废物分区贮存，布局较为合理，物流顺畅，卫生条件和交通运输均满足企业需求，方便危险废物运输和贮存。</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项目平面布置图见附图6。</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116" w:hRule="atLeast"/>
          <w:jc w:val="center"/>
        </w:trPr>
        <w:tc>
          <w:tcPr>
            <w:tcW w:w="426" w:type="dxa"/>
            <w:noWrap w:val="0"/>
            <w:vAlign w:val="center"/>
          </w:tcPr>
          <w:p>
            <w:pPr>
              <w:pStyle w:val="15"/>
              <w:keepLines w:val="0"/>
              <w:pageBreakBefore w:val="0"/>
              <w:kinsoku/>
              <w:wordWrap w:val="0"/>
              <w:topLinePunct w:val="0"/>
              <w:bidi w:val="0"/>
              <w:adjustRightInd w:val="0"/>
              <w:snapToGrid w:val="0"/>
              <w:spacing w:before="0" w:beforeAutospacing="0" w:after="0" w:afterAutospacing="0"/>
              <w:jc w:val="center"/>
              <w:rPr>
                <w:rFonts w:ascii="Times New Roman" w:hAnsi="Times New Roman" w:cs="宋体"/>
                <w:color w:val="000000" w:themeColor="text1"/>
                <w:sz w:val="21"/>
                <w:szCs w:val="21"/>
                <w14:textFill>
                  <w14:solidFill>
                    <w14:schemeClr w14:val="tx1"/>
                  </w14:solidFill>
                </w14:textFill>
              </w:rPr>
            </w:pPr>
            <w:r>
              <w:rPr>
                <w:rFonts w:hint="eastAsia" w:ascii="Times New Roman" w:hAnsi="Times New Roman" w:cs="宋体"/>
                <w:color w:val="000000" w:themeColor="text1"/>
                <w:sz w:val="21"/>
                <w:szCs w:val="21"/>
                <w14:textFill>
                  <w14:solidFill>
                    <w14:schemeClr w14:val="tx1"/>
                  </w14:solidFill>
                </w14:textFill>
              </w:rPr>
              <w:t>工艺流程和产排污环节</w:t>
            </w:r>
          </w:p>
        </w:tc>
        <w:tc>
          <w:tcPr>
            <w:tcW w:w="8754" w:type="dxa"/>
            <w:noWrap w:val="0"/>
            <w:vAlign w:val="top"/>
          </w:tcPr>
          <w:p>
            <w:pPr>
              <w:keepNext w:val="0"/>
              <w:keepLines w:val="0"/>
              <w:pageBreakBefore w:val="0"/>
              <w:widowControl/>
              <w:kinsoku/>
              <w:wordWrap w:val="0"/>
              <w:overflowPunct/>
              <w:topLinePunct w:val="0"/>
              <w:autoSpaceDE/>
              <w:autoSpaceDN/>
              <w:bidi w:val="0"/>
              <w:adjustRightInd/>
              <w:snapToGrid/>
              <w:spacing w:line="500" w:lineRule="exact"/>
              <w:textAlignment w:val="auto"/>
              <w:outlineLvl w:val="1"/>
              <w:rPr>
                <w:rFonts w:ascii="Times New Roman" w:hAnsi="Times New Roman"/>
                <w:b/>
                <w:color w:val="000000" w:themeColor="text1"/>
                <w:sz w:val="24"/>
                <w14:textFill>
                  <w14:solidFill>
                    <w14:schemeClr w14:val="tx1"/>
                  </w14:solidFill>
                </w14:textFill>
              </w:rPr>
            </w:pPr>
            <w:r>
              <w:rPr>
                <w:rFonts w:hint="eastAsia" w:ascii="Times New Roman" w:hAnsi="Times New Roman"/>
                <w:b/>
                <w:color w:val="000000" w:themeColor="text1"/>
                <w:sz w:val="24"/>
                <w:lang w:val="en-US" w:eastAsia="zh-CN"/>
                <w14:textFill>
                  <w14:solidFill>
                    <w14:schemeClr w14:val="tx1"/>
                  </w14:solidFill>
                </w14:textFill>
              </w:rPr>
              <w:t>2.10</w:t>
            </w:r>
            <w:r>
              <w:rPr>
                <w:rFonts w:ascii="Times New Roman" w:hAnsi="Times New Roman"/>
                <w:b/>
                <w:color w:val="000000" w:themeColor="text1"/>
                <w:sz w:val="24"/>
                <w14:textFill>
                  <w14:solidFill>
                    <w14:schemeClr w14:val="tx1"/>
                  </w14:solidFill>
                </w14:textFill>
              </w:rPr>
              <w:t>工艺流程</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14:textFill>
                  <w14:solidFill>
                    <w14:schemeClr w14:val="tx1"/>
                  </w14:solidFill>
                </w14:textFill>
              </w:rPr>
              <w:t>本项目</w:t>
            </w:r>
            <w:r>
              <w:rPr>
                <w:rFonts w:hint="eastAsia" w:ascii="Times New Roman" w:hAnsi="Times New Roman"/>
                <w:color w:val="000000" w:themeColor="text1"/>
                <w:sz w:val="24"/>
                <w:lang w:val="en-US" w:eastAsia="zh-CN"/>
                <w14:textFill>
                  <w14:solidFill>
                    <w14:schemeClr w14:val="tx1"/>
                  </w14:solidFill>
                </w14:textFill>
              </w:rPr>
              <w:t>包含废油储存和其他危险废物储存，工艺流程及产污环节见下图</w:t>
            </w:r>
            <w:r>
              <w:rPr>
                <w:rFonts w:ascii="Times New Roman" w:hAnsi="Times New Roman"/>
                <w:color w:val="000000" w:themeColor="text1"/>
                <w:sz w:val="24"/>
                <w14:textFill>
                  <w14:solidFill>
                    <w14:schemeClr w14:val="tx1"/>
                  </w14:solidFill>
                </w14:textFill>
              </w:rPr>
              <w:t>。</w:t>
            </w:r>
          </w:p>
          <w:p>
            <w:pPr>
              <w:keepLines w:val="0"/>
              <w:pageBreakBefore w:val="0"/>
              <w:widowControl/>
              <w:kinsoku/>
              <w:wordWrap w:val="0"/>
              <w:topLinePunct w:val="0"/>
              <w:bidi w:val="0"/>
              <w:spacing w:line="360" w:lineRule="auto"/>
              <w:jc w:val="center"/>
              <w:rPr>
                <w:rFonts w:hint="eastAsia" w:ascii="Times New Roman" w:hAnsi="Times New Roman" w:eastAsia="黑体"/>
                <w:color w:val="000000" w:themeColor="text1"/>
                <w:sz w:val="24"/>
                <w:lang w:eastAsia="zh-CN"/>
                <w14:textFill>
                  <w14:solidFill>
                    <w14:schemeClr w14:val="tx1"/>
                  </w14:solidFill>
                </w14:textFill>
              </w:rPr>
            </w:pPr>
            <w:r>
              <w:rPr>
                <w:rFonts w:hint="eastAsia" w:ascii="Times New Roman" w:hAnsi="Times New Roman" w:eastAsia="黑体"/>
                <w:color w:val="000000" w:themeColor="text1"/>
                <w:sz w:val="24"/>
                <w:lang w:eastAsia="zh-CN"/>
                <w14:textFill>
                  <w14:solidFill>
                    <w14:schemeClr w14:val="tx1"/>
                  </w14:solidFill>
                </w14:textFill>
              </w:rPr>
              <w:drawing>
                <wp:inline distT="0" distB="0" distL="114300" distR="114300">
                  <wp:extent cx="5421630" cy="953770"/>
                  <wp:effectExtent l="0" t="0" r="3810" b="5715"/>
                  <wp:docPr id="3" name="图片 64" descr="工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64" descr="工艺"/>
                          <pic:cNvPicPr>
                            <a:picLocks noChangeAspect="1"/>
                          </pic:cNvPicPr>
                        </pic:nvPicPr>
                        <pic:blipFill>
                          <a:blip r:embed="rId13">
                            <a:clrChange>
                              <a:clrFrom>
                                <a:srgbClr val="FFFFFF"/>
                              </a:clrFrom>
                              <a:clrTo>
                                <a:srgbClr val="FFFFFF">
                                  <a:alpha val="0"/>
                                </a:srgbClr>
                              </a:clrTo>
                            </a:clrChange>
                          </a:blip>
                          <a:stretch>
                            <a:fillRect/>
                          </a:stretch>
                        </pic:blipFill>
                        <pic:spPr>
                          <a:xfrm>
                            <a:off x="0" y="0"/>
                            <a:ext cx="5421630" cy="953770"/>
                          </a:xfrm>
                          <a:prstGeom prst="rect">
                            <a:avLst/>
                          </a:prstGeom>
                          <a:noFill/>
                          <a:ln>
                            <a:noFill/>
                          </a:ln>
                        </pic:spPr>
                      </pic:pic>
                    </a:graphicData>
                  </a:graphic>
                </wp:inline>
              </w:drawing>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2-</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2  项目工艺流程及产污环节</w:t>
            </w: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示意</w:t>
            </w: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图</w:t>
            </w:r>
          </w:p>
          <w:p>
            <w:pPr>
              <w:keepNext w:val="0"/>
              <w:keepLines w:val="0"/>
              <w:pageBreakBefore w:val="0"/>
              <w:widowControl/>
              <w:kinsoku/>
              <w:wordWrap w:val="0"/>
              <w:overflowPunct/>
              <w:topLinePunct w:val="0"/>
              <w:autoSpaceDE/>
              <w:autoSpaceDN/>
              <w:bidi w:val="0"/>
              <w:adjustRightInd/>
              <w:snapToGrid/>
              <w:spacing w:line="500" w:lineRule="exact"/>
              <w:ind w:firstLine="482" w:firstLineChars="200"/>
              <w:jc w:val="both"/>
              <w:textAlignment w:val="auto"/>
              <w:rPr>
                <w:rFonts w:hint="eastAsia" w:ascii="Times New Roman" w:hAnsi="Times New Roman" w:eastAsia="宋体" w:cs="宋体"/>
                <w:b/>
                <w:bCs/>
                <w:color w:val="000000" w:themeColor="text1"/>
                <w:sz w:val="24"/>
                <w:lang w:val="en-US" w:eastAsia="zh-CN"/>
                <w14:textFill>
                  <w14:solidFill>
                    <w14:schemeClr w14:val="tx1"/>
                  </w14:solidFill>
                </w14:textFill>
              </w:rPr>
            </w:pPr>
            <w:r>
              <w:rPr>
                <w:rFonts w:hint="eastAsia" w:ascii="Times New Roman" w:hAnsi="Times New Roman" w:eastAsia="宋体" w:cs="宋体"/>
                <w:b/>
                <w:bCs/>
                <w:color w:val="000000" w:themeColor="text1"/>
                <w:sz w:val="24"/>
                <w:lang w:val="en-US" w:eastAsia="zh-CN"/>
                <w14:textFill>
                  <w14:solidFill>
                    <w14:schemeClr w14:val="tx1"/>
                  </w14:solidFill>
                </w14:textFill>
              </w:rPr>
              <w:t>工艺简述：</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lang w:val="en-US" w:eastAsia="zh-CN"/>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（1）危险废物收集装车</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z w:val="24"/>
                <w:szCs w:val="24"/>
                <w:lang w:val="en-US" w:eastAsia="zh-CN"/>
                <w14:textFill>
                  <w14:solidFill>
                    <w14:schemeClr w14:val="tx1"/>
                  </w14:solidFill>
                </w14:textFill>
              </w:rPr>
              <w:t>本项目委托具备危险废物运输资质的公司承担危险废物收运任务，集中暂存后交由危废处置单位统一收运处置，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因此本项目评价内容</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不包括</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险废物运出及处置。拟建项目对周边中小企业的危险废物进行统一收集，收集容器为各企业自备容器或建设单位提供的容器分类收集（固态类和半固态类危险废物采用300kg/袋的内塑外编织袋密封储存，废机油采用200L铁桶收集，完整废铅蓄电池使用HDPE塑料薄膜进行整体缠绕包装，使用耐酸腐蚀的周转箱盛装，破损的废铅蓄电池及其渗漏液盛装在耐酸密闭周转箱中内再装车），收集达到容器的最大收集容量后通知建设单位</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，建设单位再联系运输单位前往装车、运输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各企业业主为收集环节环保主体，主要负责收集过程中危废转移满足环保要求。并通过专用车辆密闭运输至暂存区，运输路线按照规定的路线限速行驶，转运车辆运输途中应避开医院、学校和居民区等人口密集区，避开饮用水源保护区、自然保护区等敏感区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（2）卸车</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sz w:val="24"/>
                <w:szCs w:val="24"/>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危险废物由专用车辆经过规定的运输线路运至拟建项目暂存区，桶装的废机油中转时油桶、油罐不下车，在装卸区直接将输油软管插入油罐中，输油泵将废机油输送至储油罐内。其他危险废物均不倒罐，直接用叉车进行卸车，卸车前进行危险废物登记。在厂区卸车区域进行危废的转移，转移方式为直接将车上袋装的固体或半固体危废转移至厂区内贮存区。本项目不涉及转运容器及运输车辆的清洗。</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lang w:val="en-US" w:eastAsia="zh-CN"/>
                <w14:textFill>
                  <w14:solidFill>
                    <w14:schemeClr w14:val="tx1"/>
                  </w14:solidFill>
                </w14:textFill>
              </w:rPr>
            </w:pPr>
            <w:r>
              <w:rPr>
                <w:rFonts w:hint="default" w:ascii="Times New Roman" w:hAnsi="Times New Roman" w:eastAsia="宋体" w:cs="Times New Roman"/>
                <w:color w:val="000000" w:themeColor="text1"/>
                <w:sz w:val="24"/>
                <w:lang w:val="en-US" w:eastAsia="zh-CN"/>
                <w14:textFill>
                  <w14:solidFill>
                    <w14:schemeClr w14:val="tx1"/>
                  </w14:solidFill>
                </w14:textFill>
              </w:rPr>
              <w:t>（3）分区暂存</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收集的危险废物种类、形态，将危险废物分类暂存于拟建项目对应的危险废物贮存区。各危险废物贮存区地面与裙角采取防渗、防腐措施，并分区设置围堰；废铅蓄电池若在转运过程中发生破损，将破损的废铅蓄电池直接放入塑料桶中单独储存。</w:t>
            </w:r>
          </w:p>
          <w:p>
            <w:pPr>
              <w:keepNext w:val="0"/>
              <w:keepLines w:val="0"/>
              <w:pageBreakBefore w:val="0"/>
              <w:widowControl/>
              <w:kinsoku/>
              <w:wordWrap w:val="0"/>
              <w:overflowPunct/>
              <w:topLinePunct w:val="0"/>
              <w:autoSpaceDE/>
              <w:autoSpaceDN/>
              <w:bidi w:val="0"/>
              <w:adjustRightInd/>
              <w:snapToGrid/>
              <w:spacing w:line="500" w:lineRule="exact"/>
              <w:textAlignment w:val="auto"/>
              <w:outlineLvl w:val="1"/>
              <w:rPr>
                <w:rFonts w:hint="default" w:ascii="Times New Roman" w:hAnsi="Times New Roman" w:eastAsia="宋体" w:cs="Times New Roman"/>
                <w:b/>
                <w:color w:val="000000" w:themeColor="text1"/>
                <w:sz w:val="24"/>
                <w:lang w:val="en-US" w:eastAsia="zh-CN"/>
                <w14:textFill>
                  <w14:solidFill>
                    <w14:schemeClr w14:val="tx1"/>
                  </w14:solidFill>
                </w14:textFill>
              </w:rPr>
            </w:pPr>
            <w:r>
              <w:rPr>
                <w:rFonts w:hint="eastAsia" w:ascii="Times New Roman" w:hAnsi="Times New Roman" w:eastAsia="宋体" w:cs="Times New Roman"/>
                <w:b/>
                <w:color w:val="000000" w:themeColor="text1"/>
                <w:sz w:val="24"/>
                <w:lang w:val="en-US" w:eastAsia="zh-CN"/>
                <w14:textFill>
                  <w14:solidFill>
                    <w14:schemeClr w14:val="tx1"/>
                  </w14:solidFill>
                </w14:textFill>
              </w:rPr>
              <w:t>2.11主要污染工序</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宋体"/>
                <w:color w:val="000000" w:themeColor="text1"/>
                <w:sz w:val="24"/>
                <w:lang w:val="en-US" w:eastAsia="zh-CN"/>
                <w14:textFill>
                  <w14:solidFill>
                    <w14:schemeClr w14:val="tx1"/>
                  </w14:solidFill>
                </w14:textFill>
              </w:rPr>
            </w:pPr>
            <w:r>
              <w:rPr>
                <w:rFonts w:hint="eastAsia" w:ascii="Times New Roman" w:hAnsi="Times New Roman" w:eastAsia="宋体" w:cs="宋体"/>
                <w:color w:val="000000" w:themeColor="text1"/>
                <w:sz w:val="24"/>
                <w:lang w:val="en-US" w:eastAsia="zh-CN"/>
                <w14:textFill>
                  <w14:solidFill>
                    <w14:schemeClr w14:val="tx1"/>
                  </w14:solidFill>
                </w14:textFill>
              </w:rPr>
              <w:t>项目主要污染物及污染工序见下表。</w:t>
            </w:r>
          </w:p>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t>表2-7  项目主要污染工序及污染因子一览表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85"/>
              <w:gridCol w:w="581"/>
              <w:gridCol w:w="1889"/>
              <w:gridCol w:w="2189"/>
              <w:gridCol w:w="328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gridSpan w:val="2"/>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污染类别</w:t>
                  </w: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污染源名称</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产生工序</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主要污染因子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gridSpan w:val="2"/>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废水</w:t>
                  </w: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生活废水</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员工办公</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COD、BOD</w:t>
                  </w:r>
                  <w:r>
                    <w:rPr>
                      <w:rFonts w:hint="eastAsia" w:ascii="Times New Roman" w:hAnsi="Times New Roman" w:eastAsia="宋体" w:cs="Times New Roman"/>
                      <w:b w:val="0"/>
                      <w:bCs w:val="0"/>
                      <w:color w:val="000000" w:themeColor="text1"/>
                      <w:sz w:val="21"/>
                      <w:szCs w:val="21"/>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、氨氮、SS</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gridSpan w:val="2"/>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废气</w:t>
                  </w: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有机废气</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HW08 危险废物贮存</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非甲烷总烃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gridSpan w:val="2"/>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酸雾废气</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破损电池贮存</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硫酸雾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166" w:type="dxa"/>
                  <w:gridSpan w:val="2"/>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噪声</w:t>
                  </w: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生产设备</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生产过程</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噪声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5"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固废</w:t>
                  </w:r>
                </w:p>
              </w:tc>
              <w:tc>
                <w:tcPr>
                  <w:tcW w:w="581"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一般固废</w:t>
                  </w: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生活垃圾</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职工办公</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生活垃圾</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81"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危险废物</w:t>
                  </w: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废含油抹布、劳保用品</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职工办公</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废含油抹布、劳保用品</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81"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废电解液</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破损电池贮存</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废电解液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81"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碱喷淋废液</w:t>
                  </w:r>
                </w:p>
              </w:tc>
              <w:tc>
                <w:tcPr>
                  <w:tcW w:w="21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硫酸雾废气治理</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碱喷淋废液</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85"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81"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废催化剂</w:t>
                  </w:r>
                </w:p>
              </w:tc>
              <w:tc>
                <w:tcPr>
                  <w:tcW w:w="2189" w:type="dxa"/>
                  <w:vMerge w:val="restart"/>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有机废气治理</w:t>
                  </w: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蜂窝状钯金属催化剂和铂金属催化剂</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252" w:hRule="atLeast"/>
              </w:trPr>
              <w:tc>
                <w:tcPr>
                  <w:tcW w:w="585"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581"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pPr>
                </w:p>
              </w:tc>
              <w:tc>
                <w:tcPr>
                  <w:tcW w:w="18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废活性炭</w:t>
                  </w:r>
                </w:p>
              </w:tc>
              <w:tc>
                <w:tcPr>
                  <w:tcW w:w="2189" w:type="dxa"/>
                  <w:vMerge w:val="continue"/>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p>
              </w:tc>
              <w:tc>
                <w:tcPr>
                  <w:tcW w:w="3289" w:type="dxa"/>
                  <w:tcBorders>
                    <w:tl2br w:val="nil"/>
                    <w:tr2bl w:val="nil"/>
                  </w:tcBorders>
                  <w:noWrap w:val="0"/>
                  <w:vAlign w:val="center"/>
                </w:tcPr>
                <w:p>
                  <w:pPr>
                    <w:keepNext w:val="0"/>
                    <w:keepLines w:val="0"/>
                    <w:pageBreakBefore w:val="0"/>
                    <w:widowControl/>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2"/>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 w:val="0"/>
                      <w:bCs w:val="0"/>
                      <w:color w:val="000000" w:themeColor="text1"/>
                      <w:sz w:val="21"/>
                      <w:szCs w:val="21"/>
                      <w:vertAlign w:val="baseline"/>
                      <w:lang w:val="en-US" w:eastAsia="zh-CN"/>
                      <w14:textFill>
                        <w14:solidFill>
                          <w14:schemeClr w14:val="tx1"/>
                        </w14:solidFill>
                      </w14:textFill>
                    </w:rPr>
                    <w:t>废活性炭</w:t>
                  </w:r>
                </w:p>
              </w:tc>
            </w:tr>
          </w:tbl>
          <w:p>
            <w:pPr>
              <w:keepNext w:val="0"/>
              <w:keepLines w:val="0"/>
              <w:pageBreakBefore w:val="0"/>
              <w:widowControl w:val="0"/>
              <w:kinsoku/>
              <w:wordWrap w:val="0"/>
              <w:overflowPunct/>
              <w:topLinePunct w:val="0"/>
              <w:autoSpaceDE/>
              <w:autoSpaceDN/>
              <w:bidi w:val="0"/>
              <w:adjustRightInd w:val="0"/>
              <w:snapToGrid w:val="0"/>
              <w:textAlignment w:val="auto"/>
              <w:rPr>
                <w:rFonts w:hint="eastAsia" w:ascii="Times New Roman" w:hAnsi="Times New Roman"/>
                <w:bCs/>
                <w:color w:val="000000" w:themeColor="text1"/>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801" w:hRule="atLeast"/>
          <w:jc w:val="center"/>
        </w:trPr>
        <w:tc>
          <w:tcPr>
            <w:tcW w:w="426" w:type="dxa"/>
            <w:noWrap w:val="0"/>
            <w:vAlign w:val="center"/>
          </w:tcPr>
          <w:p>
            <w:pPr>
              <w:pStyle w:val="15"/>
              <w:keepLines w:val="0"/>
              <w:pageBreakBefore w:val="0"/>
              <w:kinsoku/>
              <w:wordWrap w:val="0"/>
              <w:topLinePunct w:val="0"/>
              <w:bidi w:val="0"/>
              <w:adjustRightInd w:val="0"/>
              <w:snapToGrid w:val="0"/>
              <w:spacing w:before="0" w:beforeAutospacing="0" w:after="0" w:afterAutospacing="0"/>
              <w:jc w:val="center"/>
              <w:rPr>
                <w:rFonts w:hint="default" w:ascii="Times New Roman" w:hAnsi="Times New Roman" w:eastAsia="宋体" w:cs="宋体"/>
                <w:color w:val="000000" w:themeColor="text1"/>
                <w:sz w:val="21"/>
                <w:szCs w:val="21"/>
                <w:lang w:val="en-US" w:eastAsia="zh-CN"/>
                <w14:textFill>
                  <w14:solidFill>
                    <w14:schemeClr w14:val="tx1"/>
                  </w14:solidFill>
                </w14:textFill>
              </w:rPr>
            </w:pPr>
            <w:r>
              <w:rPr>
                <w:rFonts w:hint="eastAsia" w:ascii="Times New Roman" w:hAnsi="Times New Roman" w:cs="宋体"/>
                <w:color w:val="000000" w:themeColor="text1"/>
                <w:sz w:val="21"/>
                <w:szCs w:val="21"/>
                <w:lang w:val="en-US" w:eastAsia="zh-CN"/>
                <w14:textFill>
                  <w14:solidFill>
                    <w14:schemeClr w14:val="tx1"/>
                  </w14:solidFill>
                </w14:textFill>
              </w:rPr>
              <w:t>与项目有关的原有环境污染问题</w:t>
            </w:r>
          </w:p>
        </w:tc>
        <w:tc>
          <w:tcPr>
            <w:tcW w:w="8754" w:type="dxa"/>
            <w:noWrap w:val="0"/>
            <w:vAlign w:val="top"/>
          </w:tcPr>
          <w:p>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eastAsia"/>
                <w:bCs/>
                <w:color w:val="000000" w:themeColor="text1"/>
                <w:sz w:val="24"/>
                <w:szCs w:val="24"/>
                <w:u w:val="single"/>
                <w:lang w:val="en-US" w:eastAsia="zh-CN"/>
                <w14:textFill>
                  <w14:solidFill>
                    <w14:schemeClr w14:val="tx1"/>
                  </w14:solidFill>
                </w14:textFill>
              </w:rPr>
            </w:pPr>
            <w:r>
              <w:rPr>
                <w:rFonts w:hint="eastAsia" w:ascii="Times New Roman" w:hAnsi="Times New Roman"/>
                <w:bCs/>
                <w:color w:val="000000" w:themeColor="text1"/>
                <w:sz w:val="24"/>
                <w:szCs w:val="24"/>
                <w:lang w:val="en-US" w:eastAsia="zh-CN"/>
                <w14:textFill>
                  <w14:solidFill>
                    <w14:schemeClr w14:val="tx1"/>
                  </w14:solidFill>
                </w14:textFill>
              </w:rPr>
              <w:t>本项目为新建项目，</w:t>
            </w:r>
            <w:r>
              <w:rPr>
                <w:rFonts w:hint="eastAsia"/>
                <w:bCs/>
                <w:color w:val="000000" w:themeColor="text1"/>
                <w:sz w:val="24"/>
                <w:szCs w:val="24"/>
                <w:u w:val="single"/>
                <w:lang w:val="en-US" w:eastAsia="zh-CN"/>
                <w14:textFill>
                  <w14:solidFill>
                    <w14:schemeClr w14:val="tx1"/>
                  </w14:solidFill>
                </w14:textFill>
              </w:rPr>
              <w:t>项目选址位于</w:t>
            </w:r>
            <w:r>
              <w:rPr>
                <w:rFonts w:hint="eastAsia" w:ascii="Times New Roman" w:hAnsi="Times New Roman"/>
                <w:bCs/>
                <w:color w:val="000000" w:themeColor="text1"/>
                <w:sz w:val="24"/>
                <w:szCs w:val="24"/>
                <w:u w:val="single"/>
                <w:lang w:val="en-US" w:eastAsia="zh-CN"/>
                <w14:textFill>
                  <w14:solidFill>
                    <w14:schemeClr w14:val="tx1"/>
                  </w14:solidFill>
                </w14:textFill>
              </w:rPr>
              <w:t>黄洋铜业原2号厂房</w:t>
            </w:r>
            <w:r>
              <w:rPr>
                <w:rFonts w:hint="eastAsia"/>
                <w:bCs/>
                <w:color w:val="000000" w:themeColor="text1"/>
                <w:sz w:val="24"/>
                <w:szCs w:val="24"/>
                <w:u w:val="single"/>
                <w:lang w:val="en-US" w:eastAsia="zh-CN"/>
                <w14:textFill>
                  <w14:solidFill>
                    <w14:schemeClr w14:val="tx1"/>
                  </w14:solidFill>
                </w14:textFill>
              </w:rPr>
              <w:t>中的北侧区域，该地块的土地使用权人为</w:t>
            </w:r>
            <w:r>
              <w:rPr>
                <w:rFonts w:hint="eastAsia" w:ascii="Times New Roman" w:hAnsi="Times New Roman"/>
                <w:bCs/>
                <w:color w:val="000000" w:themeColor="text1"/>
                <w:sz w:val="24"/>
                <w:szCs w:val="24"/>
                <w:u w:val="single"/>
                <w:lang w:val="en-US" w:eastAsia="zh-CN"/>
                <w14:textFill>
                  <w14:solidFill>
                    <w14:schemeClr w14:val="tx1"/>
                  </w14:solidFill>
                </w14:textFill>
              </w:rPr>
              <w:t>黄洋铜业有限公司</w:t>
            </w:r>
            <w:r>
              <w:rPr>
                <w:rFonts w:hint="eastAsia"/>
                <w:bCs/>
                <w:color w:val="000000" w:themeColor="text1"/>
                <w:sz w:val="24"/>
                <w:szCs w:val="24"/>
                <w:u w:val="single"/>
                <w:lang w:val="en-US" w:eastAsia="zh-CN"/>
                <w14:textFill>
                  <w14:solidFill>
                    <w14:schemeClr w14:val="tx1"/>
                  </w14:solidFill>
                </w14:textFill>
              </w:rPr>
              <w:t>（以下简称黄洋铜业）。</w:t>
            </w:r>
            <w:r>
              <w:rPr>
                <w:rFonts w:hint="eastAsia" w:ascii="Times New Roman" w:hAnsi="Times New Roman"/>
                <w:bCs/>
                <w:color w:val="000000" w:themeColor="text1"/>
                <w:sz w:val="24"/>
                <w:szCs w:val="24"/>
                <w:u w:val="single"/>
                <w:lang w:val="en-US" w:eastAsia="zh-CN"/>
                <w14:textFill>
                  <w14:solidFill>
                    <w14:schemeClr w14:val="tx1"/>
                  </w14:solidFill>
                </w14:textFill>
              </w:rPr>
              <w:t>原2号厂房已整体</w:t>
            </w:r>
            <w:r>
              <w:rPr>
                <w:rFonts w:hint="eastAsia"/>
                <w:bCs/>
                <w:color w:val="000000" w:themeColor="text1"/>
                <w:sz w:val="24"/>
                <w:szCs w:val="24"/>
                <w:u w:val="single"/>
                <w:lang w:val="en-US" w:eastAsia="zh-CN"/>
                <w14:textFill>
                  <w14:solidFill>
                    <w14:schemeClr w14:val="tx1"/>
                  </w14:solidFill>
                </w14:textFill>
              </w:rPr>
              <w:t>租赁给许昌凯瑞斯特润滑科技有限公司（以下简称凯瑞斯特）建设年产30000吨工业润滑油项目，该项目于2022年6月拿到许昌市生态环境局襄城分局的批复（文号为：襄环建审[2022]09号），目前已基本建设完成，尚未投产，凯瑞斯特拟将北侧成品区移至生产车间，腾出该区域不再租赁使用。经三方协商，</w:t>
            </w:r>
            <w:r>
              <w:rPr>
                <w:rFonts w:hint="eastAsia" w:ascii="Times New Roman" w:hAnsi="Times New Roman"/>
                <w:bCs/>
                <w:color w:val="000000" w:themeColor="text1"/>
                <w:sz w:val="24"/>
                <w:szCs w:val="24"/>
                <w:u w:val="single"/>
                <w:lang w:val="en-US" w:eastAsia="zh-CN"/>
                <w14:textFill>
                  <w14:solidFill>
                    <w14:schemeClr w14:val="tx1"/>
                  </w14:solidFill>
                </w14:textFill>
              </w:rPr>
              <w:t>黄洋铜业</w:t>
            </w:r>
            <w:r>
              <w:rPr>
                <w:rFonts w:hint="eastAsia"/>
                <w:bCs/>
                <w:color w:val="000000" w:themeColor="text1"/>
                <w:sz w:val="24"/>
                <w:szCs w:val="24"/>
                <w:u w:val="single"/>
                <w:lang w:val="en-US" w:eastAsia="zh-CN"/>
                <w14:textFill>
                  <w14:solidFill>
                    <w14:schemeClr w14:val="tx1"/>
                  </w14:solidFill>
                </w14:textFill>
              </w:rPr>
              <w:t>将该区域重新出租给河南好源贸环保科技有限公司建设危险废物综合收储项目（本项目）。</w:t>
            </w:r>
          </w:p>
          <w:p>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textAlignment w:val="auto"/>
              <w:rPr>
                <w:rFonts w:hint="default" w:ascii="Times New Roman" w:hAnsi="Times New Roman"/>
                <w:bCs/>
                <w:color w:val="000000" w:themeColor="text1"/>
                <w:sz w:val="24"/>
                <w:szCs w:val="24"/>
                <w:lang w:val="en-US" w:eastAsia="zh-CN"/>
                <w14:textFill>
                  <w14:solidFill>
                    <w14:schemeClr w14:val="tx1"/>
                  </w14:solidFill>
                </w14:textFill>
              </w:rPr>
            </w:pPr>
            <w:r>
              <w:rPr>
                <w:rFonts w:hint="eastAsia" w:ascii="Times New Roman" w:hAnsi="Times New Roman"/>
                <w:bCs/>
                <w:color w:val="000000" w:themeColor="text1"/>
                <w:sz w:val="24"/>
                <w:szCs w:val="24"/>
                <w:lang w:val="en-US" w:eastAsia="zh-CN"/>
                <w14:textFill>
                  <w14:solidFill>
                    <w14:schemeClr w14:val="tx1"/>
                  </w14:solidFill>
                </w14:textFill>
              </w:rPr>
              <w:t>根据现场调查，车间地面已进行了硬化、规整；无原有污染情况及主要环境问题。</w:t>
            </w:r>
          </w:p>
        </w:tc>
      </w:tr>
    </w:tbl>
    <w:p>
      <w:pPr>
        <w:pStyle w:val="15"/>
        <w:keepLines w:val="0"/>
        <w:pageBreakBefore w:val="0"/>
        <w:kinsoku/>
        <w:wordWrap w:val="0"/>
        <w:topLinePunct w:val="0"/>
        <w:bidi w:val="0"/>
        <w:jc w:val="center"/>
        <w:rPr>
          <w:rFonts w:ascii="Times New Roman" w:hAnsi="Times New Roman" w:eastAsia="黑体"/>
          <w:snapToGrid w:val="0"/>
          <w:color w:val="000000" w:themeColor="text1"/>
          <w:sz w:val="36"/>
          <w:szCs w:val="36"/>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5"/>
        <w:keepLines w:val="0"/>
        <w:pageBreakBefore w:val="0"/>
        <w:kinsoku/>
        <w:wordWrap w:val="0"/>
        <w:topLinePunct w:val="0"/>
        <w:bidi w:val="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三、区域环境质量现状、环境保护目标及评价标准</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906" w:hRule="atLeast"/>
          <w:jc w:val="center"/>
        </w:trPr>
        <w:tc>
          <w:tcPr>
            <w:tcW w:w="800"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区域</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环境</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质量</w:t>
            </w:r>
          </w:p>
          <w:p>
            <w:pPr>
              <w:keepLines w:val="0"/>
              <w:pageBreakBefore w:val="0"/>
              <w:kinsoku/>
              <w:wordWrap w:val="0"/>
              <w:topLinePunct w:val="0"/>
              <w:bidi w:val="0"/>
              <w:adjustRightInd w:val="0"/>
              <w:snapToGrid w:val="0"/>
              <w:jc w:val="center"/>
              <w:rPr>
                <w:rFonts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现状</w:t>
            </w:r>
          </w:p>
        </w:tc>
        <w:tc>
          <w:tcPr>
            <w:tcW w:w="8190" w:type="dxa"/>
            <w:noWrap w:val="0"/>
            <w:vAlign w:val="center"/>
          </w:tcPr>
          <w:p>
            <w:pPr>
              <w:keepLines w:val="0"/>
              <w:pageBreakBefore w:val="0"/>
              <w:kinsoku/>
              <w:wordWrap w:val="0"/>
              <w:topLinePunct w:val="0"/>
              <w:bidi w:val="0"/>
              <w:adjustRightInd w:val="0"/>
              <w:snapToGrid w:val="0"/>
              <w:spacing w:line="500" w:lineRule="exact"/>
              <w:jc w:val="left"/>
              <w:outlineLvl w:val="2"/>
              <w:rPr>
                <w:rFonts w:ascii="Times New Roman" w:hAnsi="Times New Roman" w:eastAsia="黑体"/>
                <w:b/>
                <w:color w:val="000000" w:themeColor="text1"/>
                <w:spacing w:val="0"/>
                <w:position w:val="0"/>
                <w:sz w:val="24"/>
                <w:szCs w:val="20"/>
                <w14:textFill>
                  <w14:solidFill>
                    <w14:schemeClr w14:val="tx1"/>
                  </w14:solidFill>
                </w14:textFill>
              </w:rPr>
            </w:pPr>
            <w:bookmarkStart w:id="2" w:name="_Toc396129890"/>
            <w:r>
              <w:rPr>
                <w:rFonts w:ascii="Times New Roman" w:hAnsi="Times New Roman" w:eastAsia="黑体"/>
                <w:b/>
                <w:color w:val="000000" w:themeColor="text1"/>
                <w:spacing w:val="0"/>
                <w:position w:val="0"/>
                <w:sz w:val="24"/>
                <w:szCs w:val="20"/>
                <w14:textFill>
                  <w14:solidFill>
                    <w14:schemeClr w14:val="tx1"/>
                  </w14:solidFill>
                </w14:textFill>
              </w:rPr>
              <w:t>3.1</w:t>
            </w:r>
            <w:r>
              <w:rPr>
                <w:rFonts w:hint="eastAsia" w:ascii="Times New Roman" w:hAnsi="Times New Roman" w:eastAsia="黑体"/>
                <w:b/>
                <w:color w:val="000000" w:themeColor="text1"/>
                <w:spacing w:val="0"/>
                <w:position w:val="0"/>
                <w:sz w:val="24"/>
                <w:szCs w:val="20"/>
                <w:lang w:val="en-US" w:eastAsia="zh-CN"/>
                <w14:textFill>
                  <w14:solidFill>
                    <w14:schemeClr w14:val="tx1"/>
                  </w14:solidFill>
                </w14:textFill>
              </w:rPr>
              <w:t xml:space="preserve"> </w:t>
            </w:r>
            <w:r>
              <w:rPr>
                <w:rFonts w:ascii="Times New Roman" w:hAnsi="Times New Roman"/>
                <w:b/>
                <w:color w:val="000000" w:themeColor="text1"/>
                <w:spacing w:val="0"/>
                <w:position w:val="0"/>
                <w:sz w:val="24"/>
                <w:szCs w:val="20"/>
                <w14:textFill>
                  <w14:solidFill>
                    <w14:schemeClr w14:val="tx1"/>
                  </w14:solidFill>
                </w14:textFill>
              </w:rPr>
              <w:t>环境空气质量现状评价</w:t>
            </w:r>
            <w:bookmarkEnd w:id="2"/>
          </w:p>
          <w:p>
            <w:pPr>
              <w:keepLines w:val="0"/>
              <w:pageBreakBefore w:val="0"/>
              <w:kinsoku/>
              <w:wordWrap w:val="0"/>
              <w:topLinePunct w:val="0"/>
              <w:bidi w:val="0"/>
              <w:adjustRightInd w:val="0"/>
              <w:snapToGrid w:val="0"/>
              <w:spacing w:line="500" w:lineRule="exact"/>
              <w:jc w:val="left"/>
              <w:outlineLvl w:val="2"/>
              <w:rPr>
                <w:rFonts w:hint="default" w:ascii="Times New Roman" w:hAnsi="Times New Roman" w:eastAsia="宋体" w:cs="Times New Roman"/>
                <w:b/>
                <w:color w:val="000000" w:themeColor="text1"/>
                <w:spacing w:val="0"/>
                <w:position w:val="0"/>
                <w:sz w:val="24"/>
                <w:szCs w:val="20"/>
                <w14:textFill>
                  <w14:solidFill>
                    <w14:schemeClr w14:val="tx1"/>
                  </w14:solidFill>
                </w14:textFill>
              </w:rPr>
            </w:pPr>
            <w:r>
              <w:rPr>
                <w:rFonts w:hint="default" w:ascii="Times New Roman" w:hAnsi="Times New Roman" w:eastAsia="宋体" w:cs="Times New Roman"/>
                <w:b/>
                <w:color w:val="000000" w:themeColor="text1"/>
                <w:spacing w:val="0"/>
                <w:position w:val="0"/>
                <w:sz w:val="24"/>
                <w:szCs w:val="20"/>
                <w14:textFill>
                  <w14:solidFill>
                    <w14:schemeClr w14:val="tx1"/>
                  </w14:solidFill>
                </w14:textFill>
              </w:rPr>
              <w:t>3.1.1 空气质量达标区判定</w:t>
            </w:r>
          </w:p>
          <w:p>
            <w:pPr>
              <w:keepLines w:val="0"/>
              <w:pageBreakBefore w:val="0"/>
              <w:kinsoku/>
              <w:wordWrap w:val="0"/>
              <w:topLinePunct w:val="0"/>
              <w:bidi w:val="0"/>
              <w:adjustRightInd w:val="0"/>
              <w:snapToGrid w:val="0"/>
              <w:spacing w:line="500" w:lineRule="exact"/>
              <w:ind w:firstLine="480" w:firstLineChars="200"/>
              <w:jc w:val="left"/>
              <w:outlineLvl w:val="3"/>
              <w:rPr>
                <w:rFonts w:ascii="Times New Roman" w:hAnsi="Times New Roman"/>
                <w:color w:val="000000" w:themeColor="text1"/>
                <w:spacing w:val="0"/>
                <w:kern w:val="0"/>
                <w:position w:val="0"/>
                <w:sz w:val="24"/>
                <w14:textFill>
                  <w14:solidFill>
                    <w14:schemeClr w14:val="tx1"/>
                  </w14:solidFill>
                </w14:textFill>
              </w:rPr>
            </w:pPr>
            <w:bookmarkStart w:id="3" w:name="_Hlk27466621"/>
            <w:r>
              <w:rPr>
                <w:rFonts w:hint="eastAsia" w:ascii="Times New Roman" w:hAnsi="Times New Roman"/>
                <w:color w:val="000000" w:themeColor="text1"/>
                <w:spacing w:val="0"/>
                <w:kern w:val="0"/>
                <w:position w:val="0"/>
                <w:sz w:val="24"/>
                <w:lang w:val="en-US" w:eastAsia="zh-CN"/>
                <w14:textFill>
                  <w14:solidFill>
                    <w14:schemeClr w14:val="tx1"/>
                  </w14:solidFill>
                </w14:textFill>
              </w:rPr>
              <w:t>本项目位于襄城县先进制造业开发区南区（原襄城县循环经济产业集聚区），根据大气功能区划分，项目所在地为二类功能区，环境空气质量执行《环境空气质量标准》（GB3095-2012）及其修改单二级标准。</w:t>
            </w:r>
            <w:r>
              <w:rPr>
                <w:rFonts w:hint="eastAsia" w:ascii="Times New Roman" w:hAnsi="Times New Roman"/>
                <w:color w:val="000000" w:themeColor="text1"/>
                <w:spacing w:val="0"/>
                <w:kern w:val="0"/>
                <w:position w:val="0"/>
                <w:sz w:val="24"/>
                <w14:textFill>
                  <w14:solidFill>
                    <w14:schemeClr w14:val="tx1"/>
                  </w14:solidFill>
                </w14:textFill>
              </w:rPr>
              <w:t>本次</w:t>
            </w:r>
            <w:r>
              <w:rPr>
                <w:rFonts w:hint="eastAsia" w:ascii="Times New Roman" w:hAnsi="Times New Roman"/>
                <w:color w:val="000000" w:themeColor="text1"/>
                <w:spacing w:val="0"/>
                <w:kern w:val="0"/>
                <w:position w:val="0"/>
                <w:sz w:val="24"/>
                <w:lang w:val="en-US" w:eastAsia="zh-CN"/>
                <w14:textFill>
                  <w14:solidFill>
                    <w14:schemeClr w14:val="tx1"/>
                  </w14:solidFill>
                </w14:textFill>
              </w:rPr>
              <w:t>评价选择2021年为评价基准年，</w:t>
            </w:r>
            <w:r>
              <w:rPr>
                <w:rFonts w:hint="eastAsia" w:ascii="Times New Roman" w:hAnsi="Times New Roman"/>
                <w:color w:val="000000" w:themeColor="text1"/>
                <w:spacing w:val="0"/>
                <w:kern w:val="0"/>
                <w:position w:val="0"/>
                <w:sz w:val="24"/>
                <w14:textFill>
                  <w14:solidFill>
                    <w14:schemeClr w14:val="tx1"/>
                  </w14:solidFill>
                </w14:textFill>
              </w:rPr>
              <w:t>采用襄城县</w:t>
            </w:r>
            <w:r>
              <w:rPr>
                <w:rFonts w:ascii="Times New Roman" w:hAnsi="Times New Roman"/>
                <w:color w:val="000000" w:themeColor="text1"/>
                <w:spacing w:val="0"/>
                <w:kern w:val="0"/>
                <w:position w:val="0"/>
                <w:sz w:val="24"/>
                <w14:textFill>
                  <w14:solidFill>
                    <w14:schemeClr w14:val="tx1"/>
                  </w14:solidFill>
                </w14:textFill>
              </w:rPr>
              <w:t>202</w:t>
            </w:r>
            <w:r>
              <w:rPr>
                <w:rFonts w:hint="eastAsia" w:ascii="Times New Roman" w:hAnsi="Times New Roman"/>
                <w:color w:val="000000" w:themeColor="text1"/>
                <w:spacing w:val="0"/>
                <w:kern w:val="0"/>
                <w:position w:val="0"/>
                <w:sz w:val="24"/>
                <w:lang w:val="en-US" w:eastAsia="zh-CN"/>
                <w14:textFill>
                  <w14:solidFill>
                    <w14:schemeClr w14:val="tx1"/>
                  </w14:solidFill>
                </w14:textFill>
              </w:rPr>
              <w:t>1</w:t>
            </w:r>
            <w:r>
              <w:rPr>
                <w:rFonts w:hint="eastAsia" w:ascii="Times New Roman" w:hAnsi="Times New Roman"/>
                <w:color w:val="000000" w:themeColor="text1"/>
                <w:spacing w:val="0"/>
                <w:kern w:val="0"/>
                <w:position w:val="0"/>
                <w:sz w:val="24"/>
                <w14:textFill>
                  <w14:solidFill>
                    <w14:schemeClr w14:val="tx1"/>
                  </w14:solidFill>
                </w14:textFill>
              </w:rPr>
              <w:t>年</w:t>
            </w:r>
            <w:r>
              <w:rPr>
                <w:rFonts w:hint="eastAsia" w:ascii="Times New Roman" w:hAnsi="Times New Roman"/>
                <w:color w:val="000000" w:themeColor="text1"/>
                <w:spacing w:val="0"/>
                <w:kern w:val="0"/>
                <w:position w:val="0"/>
                <w:sz w:val="24"/>
                <w:lang w:val="en-US" w:eastAsia="zh-CN"/>
                <w14:textFill>
                  <w14:solidFill>
                    <w14:schemeClr w14:val="tx1"/>
                  </w14:solidFill>
                </w14:textFill>
              </w:rPr>
              <w:t>连续1年</w:t>
            </w:r>
            <w:r>
              <w:rPr>
                <w:rFonts w:hint="eastAsia" w:ascii="Times New Roman" w:hAnsi="Times New Roman"/>
                <w:color w:val="000000" w:themeColor="text1"/>
                <w:spacing w:val="0"/>
                <w:kern w:val="0"/>
                <w:position w:val="0"/>
                <w:sz w:val="24"/>
                <w14:textFill>
                  <w14:solidFill>
                    <w14:schemeClr w14:val="tx1"/>
                  </w14:solidFill>
                </w14:textFill>
              </w:rPr>
              <w:t>的</w:t>
            </w:r>
            <w:r>
              <w:rPr>
                <w:rFonts w:hint="eastAsia" w:ascii="Times New Roman" w:hAnsi="Times New Roman"/>
                <w:color w:val="000000" w:themeColor="text1"/>
                <w:spacing w:val="0"/>
                <w:kern w:val="0"/>
                <w:position w:val="0"/>
                <w:sz w:val="24"/>
                <w:lang w:val="en-US" w:eastAsia="zh-CN"/>
                <w14:textFill>
                  <w14:solidFill>
                    <w14:schemeClr w14:val="tx1"/>
                  </w14:solidFill>
                </w14:textFill>
              </w:rPr>
              <w:t>监测</w:t>
            </w:r>
            <w:r>
              <w:rPr>
                <w:rFonts w:hint="eastAsia" w:ascii="Times New Roman" w:hAnsi="Times New Roman"/>
                <w:color w:val="000000" w:themeColor="text1"/>
                <w:spacing w:val="0"/>
                <w:kern w:val="0"/>
                <w:position w:val="0"/>
                <w:sz w:val="24"/>
                <w14:textFill>
                  <w14:solidFill>
                    <w14:schemeClr w14:val="tx1"/>
                  </w14:solidFill>
                </w14:textFill>
              </w:rPr>
              <w:t>数据。根据</w:t>
            </w:r>
            <w:r>
              <w:rPr>
                <w:rFonts w:ascii="Times New Roman" w:hAnsi="Times New Roman"/>
                <w:color w:val="000000" w:themeColor="text1"/>
                <w:spacing w:val="0"/>
                <w:kern w:val="0"/>
                <w:position w:val="0"/>
                <w:sz w:val="24"/>
                <w14:textFill>
                  <w14:solidFill>
                    <w14:schemeClr w14:val="tx1"/>
                  </w14:solidFill>
                </w14:textFill>
              </w:rPr>
              <w:t>数据统计结果</w:t>
            </w:r>
            <w:r>
              <w:rPr>
                <w:rFonts w:hint="eastAsia" w:ascii="Times New Roman" w:hAnsi="Times New Roman"/>
                <w:color w:val="000000" w:themeColor="text1"/>
                <w:spacing w:val="0"/>
                <w:kern w:val="0"/>
                <w:position w:val="0"/>
                <w:sz w:val="24"/>
                <w14:textFill>
                  <w14:solidFill>
                    <w14:schemeClr w14:val="tx1"/>
                  </w14:solidFill>
                </w14:textFill>
              </w:rPr>
              <w:t>可</w:t>
            </w:r>
            <w:r>
              <w:rPr>
                <w:rFonts w:ascii="Times New Roman" w:hAnsi="Times New Roman"/>
                <w:color w:val="000000" w:themeColor="text1"/>
                <w:spacing w:val="0"/>
                <w:kern w:val="0"/>
                <w:position w:val="0"/>
                <w:sz w:val="24"/>
                <w14:textFill>
                  <w14:solidFill>
                    <w14:schemeClr w14:val="tx1"/>
                  </w14:solidFill>
                </w14:textFill>
              </w:rPr>
              <w:t>知，</w:t>
            </w:r>
            <w:r>
              <w:rPr>
                <w:rFonts w:hint="eastAsia" w:ascii="Times New Roman" w:hAnsi="Times New Roman"/>
                <w:color w:val="000000" w:themeColor="text1"/>
                <w:spacing w:val="0"/>
                <w:kern w:val="0"/>
                <w:position w:val="0"/>
                <w:sz w:val="24"/>
                <w:lang w:val="en-US" w:eastAsia="zh-CN"/>
                <w14:textFill>
                  <w14:solidFill>
                    <w14:schemeClr w14:val="tx1"/>
                  </w14:solidFill>
                </w14:textFill>
              </w:rPr>
              <w:t>项目所在区域为不达标区，详</w:t>
            </w:r>
            <w:r>
              <w:rPr>
                <w:rFonts w:ascii="Times New Roman" w:hAnsi="Times New Roman"/>
                <w:color w:val="000000" w:themeColor="text1"/>
                <w:spacing w:val="0"/>
                <w:kern w:val="0"/>
                <w:position w:val="0"/>
                <w:sz w:val="24"/>
                <w14:textFill>
                  <w14:solidFill>
                    <w14:schemeClr w14:val="tx1"/>
                  </w14:solidFill>
                </w14:textFill>
              </w:rPr>
              <w:t>见表3</w:t>
            </w:r>
            <w:r>
              <w:rPr>
                <w:rFonts w:hint="eastAsia" w:ascii="Times New Roman" w:hAnsi="Times New Roman"/>
                <w:color w:val="000000" w:themeColor="text1"/>
                <w:spacing w:val="0"/>
                <w:kern w:val="0"/>
                <w:position w:val="0"/>
                <w:sz w:val="24"/>
                <w14:textFill>
                  <w14:solidFill>
                    <w14:schemeClr w14:val="tx1"/>
                  </w14:solidFill>
                </w14:textFill>
              </w:rPr>
              <w:t>-1</w:t>
            </w:r>
            <w:r>
              <w:rPr>
                <w:rFonts w:ascii="Times New Roman" w:hAnsi="Times New Roman"/>
                <w:color w:val="000000" w:themeColor="text1"/>
                <w:spacing w:val="0"/>
                <w:kern w:val="0"/>
                <w:position w:val="0"/>
                <w:sz w:val="24"/>
                <w14:textFill>
                  <w14:solidFill>
                    <w14:schemeClr w14:val="tx1"/>
                  </w14:solidFill>
                </w14:textFill>
              </w:rPr>
              <w:t>。</w:t>
            </w:r>
          </w:p>
          <w:p>
            <w:pPr>
              <w:keepLines w:val="0"/>
              <w:pageBreakBefore w:val="0"/>
              <w:kinsoku/>
              <w:wordWrap w:val="0"/>
              <w:topLinePunct w:val="0"/>
              <w:bidi w:val="0"/>
              <w:adjustRightInd w:val="0"/>
              <w:snapToGrid w:val="0"/>
              <w:spacing w:line="240" w:lineRule="auto"/>
              <w:jc w:val="center"/>
              <w:outlineLvl w:val="3"/>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表3-1  202</w:t>
            </w:r>
            <w:r>
              <w:rPr>
                <w:rFonts w:hint="default" w:ascii="Times New Roman" w:hAnsi="Times New Roman" w:eastAsia="宋体" w:cs="Times New Roman"/>
                <w:b/>
                <w:bCs/>
                <w:snapToGrid w:val="0"/>
                <w:color w:val="000000" w:themeColor="text1"/>
                <w:spacing w:val="0"/>
                <w:kern w:val="0"/>
                <w:position w:val="0"/>
                <w:sz w:val="21"/>
                <w:szCs w:val="21"/>
                <w:lang w:val="en-US" w:eastAsia="zh-CN"/>
                <w14:textFill>
                  <w14:solidFill>
                    <w14:schemeClr w14:val="tx1"/>
                  </w14:solidFill>
                </w14:textFill>
              </w:rPr>
              <w:t>1</w:t>
            </w: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年襄城县环境空气质量现状评价表</w:t>
            </w:r>
          </w:p>
          <w:tbl>
            <w:tblPr>
              <w:tblStyle w:val="18"/>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36"/>
              <w:gridCol w:w="2526"/>
              <w:gridCol w:w="1100"/>
              <w:gridCol w:w="1100"/>
              <w:gridCol w:w="1400"/>
              <w:gridCol w:w="101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污染物</w:t>
                  </w:r>
                </w:p>
              </w:tc>
              <w:tc>
                <w:tcPr>
                  <w:tcW w:w="1584"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年评价指标</w:t>
                  </w:r>
                </w:p>
              </w:tc>
              <w:tc>
                <w:tcPr>
                  <w:tcW w:w="690"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浓度现状</w:t>
                  </w:r>
                  <w:r>
                    <w:rPr>
                      <w:rFonts w:hint="eastAsia" w:ascii="Times New Roman" w:hAnsi="Times New Roman"/>
                      <w:color w:val="000000" w:themeColor="text1"/>
                      <w:spacing w:val="0"/>
                      <w:kern w:val="0"/>
                      <w:position w:val="0"/>
                      <w:szCs w:val="21"/>
                      <w14:textFill>
                        <w14:solidFill>
                          <w14:schemeClr w14:val="tx1"/>
                        </w14:solidFill>
                      </w14:textFill>
                    </w:rPr>
                    <w:t>（</w:t>
                  </w:r>
                  <w:r>
                    <w:rPr>
                      <w:rFonts w:ascii="Times New Roman" w:hAnsi="Times New Roman"/>
                      <w:color w:val="000000" w:themeColor="text1"/>
                      <w:spacing w:val="0"/>
                      <w:kern w:val="0"/>
                      <w:position w:val="0"/>
                      <w:szCs w:val="21"/>
                      <w14:textFill>
                        <w14:solidFill>
                          <w14:schemeClr w14:val="tx1"/>
                        </w14:solidFill>
                      </w14:textFill>
                    </w:rPr>
                    <w:t>μg/m</w:t>
                  </w:r>
                  <w:r>
                    <w:rPr>
                      <w:rFonts w:ascii="Times New Roman" w:hAnsi="Times New Roman"/>
                      <w:color w:val="000000" w:themeColor="text1"/>
                      <w:spacing w:val="0"/>
                      <w:kern w:val="0"/>
                      <w:position w:val="0"/>
                      <w:szCs w:val="21"/>
                      <w:vertAlign w:val="superscript"/>
                      <w14:textFill>
                        <w14:solidFill>
                          <w14:schemeClr w14:val="tx1"/>
                        </w14:solidFill>
                      </w14:textFill>
                    </w:rPr>
                    <w:t>3</w:t>
                  </w:r>
                  <w:r>
                    <w:rPr>
                      <w:rFonts w:hint="eastAsia" w:ascii="Times New Roman" w:hAnsi="Times New Roman"/>
                      <w:color w:val="000000" w:themeColor="text1"/>
                      <w:spacing w:val="0"/>
                      <w:kern w:val="0"/>
                      <w:position w:val="0"/>
                      <w:szCs w:val="21"/>
                      <w14:textFill>
                        <w14:solidFill>
                          <w14:schemeClr w14:val="tx1"/>
                        </w14:solidFill>
                      </w14:textFill>
                    </w:rPr>
                    <w:t>）</w:t>
                  </w:r>
                </w:p>
              </w:tc>
              <w:tc>
                <w:tcPr>
                  <w:tcW w:w="690"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标准值</w:t>
                  </w:r>
                  <w:r>
                    <w:rPr>
                      <w:rFonts w:hint="eastAsia" w:ascii="Times New Roman" w:hAnsi="Times New Roman"/>
                      <w:color w:val="000000" w:themeColor="text1"/>
                      <w:spacing w:val="0"/>
                      <w:kern w:val="0"/>
                      <w:position w:val="0"/>
                      <w:szCs w:val="21"/>
                      <w14:textFill>
                        <w14:solidFill>
                          <w14:schemeClr w14:val="tx1"/>
                        </w14:solidFill>
                      </w14:textFill>
                    </w:rPr>
                    <w:t>（</w:t>
                  </w:r>
                  <w:r>
                    <w:rPr>
                      <w:rFonts w:ascii="Times New Roman" w:hAnsi="Times New Roman"/>
                      <w:color w:val="000000" w:themeColor="text1"/>
                      <w:spacing w:val="0"/>
                      <w:kern w:val="0"/>
                      <w:position w:val="0"/>
                      <w:szCs w:val="21"/>
                      <w14:textFill>
                        <w14:solidFill>
                          <w14:schemeClr w14:val="tx1"/>
                        </w14:solidFill>
                      </w14:textFill>
                    </w:rPr>
                    <w:t>μg/m</w:t>
                  </w:r>
                  <w:r>
                    <w:rPr>
                      <w:rFonts w:ascii="Times New Roman" w:hAnsi="Times New Roman"/>
                      <w:color w:val="000000" w:themeColor="text1"/>
                      <w:spacing w:val="0"/>
                      <w:kern w:val="0"/>
                      <w:position w:val="0"/>
                      <w:szCs w:val="21"/>
                      <w:vertAlign w:val="superscript"/>
                      <w14:textFill>
                        <w14:solidFill>
                          <w14:schemeClr w14:val="tx1"/>
                        </w14:solidFill>
                      </w14:textFill>
                    </w:rPr>
                    <w:t>3</w:t>
                  </w:r>
                  <w:r>
                    <w:rPr>
                      <w:rFonts w:hint="eastAsia" w:ascii="Times New Roman" w:hAnsi="Times New Roman"/>
                      <w:color w:val="000000" w:themeColor="text1"/>
                      <w:spacing w:val="0"/>
                      <w:kern w:val="0"/>
                      <w:position w:val="0"/>
                      <w:szCs w:val="21"/>
                      <w14:textFill>
                        <w14:solidFill>
                          <w14:schemeClr w14:val="tx1"/>
                        </w14:solidFill>
                      </w14:textFill>
                    </w:rPr>
                    <w:t>）</w:t>
                  </w:r>
                </w:p>
              </w:tc>
              <w:tc>
                <w:tcPr>
                  <w:tcW w:w="878"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占标率</w:t>
                  </w:r>
                  <w:r>
                    <w:rPr>
                      <w:rFonts w:hint="eastAsia" w:ascii="Times New Roman" w:hAnsi="Times New Roman"/>
                      <w:color w:val="000000" w:themeColor="text1"/>
                      <w:spacing w:val="0"/>
                      <w:kern w:val="0"/>
                      <w:position w:val="0"/>
                      <w:szCs w:val="21"/>
                      <w14:textFill>
                        <w14:solidFill>
                          <w14:schemeClr w14:val="tx1"/>
                        </w14:solidFill>
                      </w14:textFill>
                    </w:rPr>
                    <w:t xml:space="preserve"> </w:t>
                  </w:r>
                  <w:r>
                    <w:rPr>
                      <w:rFonts w:ascii="Times New Roman" w:hAnsi="Times New Roman"/>
                      <w:color w:val="000000" w:themeColor="text1"/>
                      <w:spacing w:val="0"/>
                      <w:kern w:val="0"/>
                      <w:position w:val="0"/>
                      <w:szCs w:val="21"/>
                      <w14:textFill>
                        <w14:solidFill>
                          <w14:schemeClr w14:val="tx1"/>
                        </w14:solidFill>
                      </w14:textFill>
                    </w:rPr>
                    <w:t>（%）</w:t>
                  </w:r>
                </w:p>
              </w:tc>
              <w:tc>
                <w:tcPr>
                  <w:tcW w:w="634"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restar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PM</w:t>
                  </w:r>
                  <w:r>
                    <w:rPr>
                      <w:rFonts w:ascii="Times New Roman" w:hAnsi="Times New Roman"/>
                      <w:color w:val="000000" w:themeColor="text1"/>
                      <w:spacing w:val="0"/>
                      <w:kern w:val="0"/>
                      <w:position w:val="0"/>
                      <w:szCs w:val="21"/>
                      <w:vertAlign w:val="subscript"/>
                      <w14:textFill>
                        <w14:solidFill>
                          <w14:schemeClr w14:val="tx1"/>
                        </w14:solidFill>
                      </w14:textFill>
                    </w:rPr>
                    <w:t>2.5</w:t>
                  </w: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年均值</w:t>
                  </w:r>
                </w:p>
              </w:tc>
              <w:tc>
                <w:tcPr>
                  <w:tcW w:w="690"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49</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35</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140.0</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24小时平均第</w:t>
                  </w:r>
                  <w:r>
                    <w:rPr>
                      <w:rFonts w:hint="eastAsia" w:ascii="Times New Roman" w:hAnsi="Times New Roman"/>
                      <w:snapToGrid w:val="0"/>
                      <w:color w:val="000000" w:themeColor="text1"/>
                      <w:spacing w:val="0"/>
                      <w:kern w:val="0"/>
                      <w:position w:val="0"/>
                      <w:szCs w:val="21"/>
                      <w14:textFill>
                        <w14:solidFill>
                          <w14:schemeClr w14:val="tx1"/>
                        </w14:solidFill>
                      </w14:textFill>
                    </w:rPr>
                    <w:t>9</w:t>
                  </w:r>
                  <w:r>
                    <w:rPr>
                      <w:rFonts w:ascii="Times New Roman" w:hAnsi="Times New Roman"/>
                      <w:snapToGrid w:val="0"/>
                      <w:color w:val="000000" w:themeColor="text1"/>
                      <w:spacing w:val="0"/>
                      <w:kern w:val="0"/>
                      <w:position w:val="0"/>
                      <w:szCs w:val="21"/>
                      <w14:textFill>
                        <w14:solidFill>
                          <w14:schemeClr w14:val="tx1"/>
                        </w14:solidFill>
                      </w14:textFill>
                    </w:rPr>
                    <w:t>5百分位数</w:t>
                  </w:r>
                </w:p>
              </w:tc>
              <w:tc>
                <w:tcPr>
                  <w:tcW w:w="690"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120</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75</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160.0</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hint="eastAsia" w:ascii="Times New Roman" w:hAnsi="Times New Roman"/>
                      <w:snapToGrid w:val="0"/>
                      <w:color w:val="000000" w:themeColor="text1"/>
                      <w:spacing w:val="0"/>
                      <w:kern w:val="0"/>
                      <w:position w:val="0"/>
                      <w:szCs w:val="21"/>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restar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PM</w:t>
                  </w:r>
                  <w:r>
                    <w:rPr>
                      <w:rFonts w:ascii="Times New Roman" w:hAnsi="Times New Roman"/>
                      <w:color w:val="000000" w:themeColor="text1"/>
                      <w:spacing w:val="0"/>
                      <w:kern w:val="0"/>
                      <w:position w:val="0"/>
                      <w:szCs w:val="21"/>
                      <w:vertAlign w:val="subscript"/>
                      <w14:textFill>
                        <w14:solidFill>
                          <w14:schemeClr w14:val="tx1"/>
                        </w14:solidFill>
                      </w14:textFill>
                    </w:rPr>
                    <w:t>10</w:t>
                  </w: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年均值</w:t>
                  </w:r>
                </w:p>
              </w:tc>
              <w:tc>
                <w:tcPr>
                  <w:tcW w:w="690" w:type="pct"/>
                  <w:noWrap w:val="0"/>
                  <w:vAlign w:val="center"/>
                </w:tcPr>
                <w:p>
                  <w:pPr>
                    <w:keepLines w:val="0"/>
                    <w:pageBreakBefore w:val="0"/>
                    <w:kinsoku/>
                    <w:wordWrap w:val="0"/>
                    <w:topLinePunct w:val="0"/>
                    <w:bidi w:val="0"/>
                    <w:adjustRightInd w:val="0"/>
                    <w:snapToGrid w:val="0"/>
                    <w:jc w:val="center"/>
                    <w:rPr>
                      <w:rFonts w:hint="eastAsia" w:ascii="Times New Roman" w:hAnsi="Times New Roman" w:eastAsia="宋体"/>
                      <w:snapToGrid w:val="0"/>
                      <w:color w:val="000000" w:themeColor="text1"/>
                      <w:spacing w:val="0"/>
                      <w:kern w:val="0"/>
                      <w:position w:val="0"/>
                      <w:szCs w:val="21"/>
                      <w:lang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92</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70</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131.4</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24小时平均第</w:t>
                  </w:r>
                  <w:r>
                    <w:rPr>
                      <w:rFonts w:hint="eastAsia" w:ascii="Times New Roman" w:hAnsi="Times New Roman"/>
                      <w:snapToGrid w:val="0"/>
                      <w:color w:val="000000" w:themeColor="text1"/>
                      <w:spacing w:val="0"/>
                      <w:kern w:val="0"/>
                      <w:position w:val="0"/>
                      <w:szCs w:val="21"/>
                      <w14:textFill>
                        <w14:solidFill>
                          <w14:schemeClr w14:val="tx1"/>
                        </w14:solidFill>
                      </w14:textFill>
                    </w:rPr>
                    <w:t>9</w:t>
                  </w:r>
                  <w:r>
                    <w:rPr>
                      <w:rFonts w:ascii="Times New Roman" w:hAnsi="Times New Roman"/>
                      <w:snapToGrid w:val="0"/>
                      <w:color w:val="000000" w:themeColor="text1"/>
                      <w:spacing w:val="0"/>
                      <w:kern w:val="0"/>
                      <w:position w:val="0"/>
                      <w:szCs w:val="21"/>
                      <w14:textFill>
                        <w14:solidFill>
                          <w14:schemeClr w14:val="tx1"/>
                        </w14:solidFill>
                      </w14:textFill>
                    </w:rPr>
                    <w:t>5百分位数</w:t>
                  </w:r>
                </w:p>
              </w:tc>
              <w:tc>
                <w:tcPr>
                  <w:tcW w:w="690"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206</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hint="eastAsia" w:ascii="Times New Roman" w:hAnsi="Times New Roman"/>
                      <w:snapToGrid w:val="0"/>
                      <w:color w:val="000000" w:themeColor="text1"/>
                      <w:spacing w:val="0"/>
                      <w:kern w:val="0"/>
                      <w:position w:val="0"/>
                      <w:szCs w:val="21"/>
                      <w14:textFill>
                        <w14:solidFill>
                          <w14:schemeClr w14:val="tx1"/>
                        </w14:solidFill>
                      </w14:textFill>
                    </w:rPr>
                    <w:t>1</w:t>
                  </w:r>
                  <w:r>
                    <w:rPr>
                      <w:rFonts w:ascii="Times New Roman" w:hAnsi="Times New Roman"/>
                      <w:snapToGrid w:val="0"/>
                      <w:color w:val="000000" w:themeColor="text1"/>
                      <w:spacing w:val="0"/>
                      <w:kern w:val="0"/>
                      <w:position w:val="0"/>
                      <w:szCs w:val="21"/>
                      <w14:textFill>
                        <w14:solidFill>
                          <w14:schemeClr w14:val="tx1"/>
                        </w14:solidFill>
                      </w14:textFill>
                    </w:rPr>
                    <w:t>50</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137.3</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hint="eastAsia" w:ascii="Times New Roman" w:hAnsi="Times New Roman"/>
                      <w:snapToGrid w:val="0"/>
                      <w:color w:val="000000" w:themeColor="text1"/>
                      <w:spacing w:val="0"/>
                      <w:kern w:val="0"/>
                      <w:position w:val="0"/>
                      <w:szCs w:val="21"/>
                      <w14:textFill>
                        <w14:solidFill>
                          <w14:schemeClr w14:val="tx1"/>
                        </w14:solidFill>
                      </w14:textFill>
                    </w:rPr>
                    <w:t>不达标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restar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NO</w:t>
                  </w:r>
                  <w:r>
                    <w:rPr>
                      <w:rFonts w:ascii="Times New Roman" w:hAnsi="Times New Roman"/>
                      <w:color w:val="000000" w:themeColor="text1"/>
                      <w:spacing w:val="0"/>
                      <w:kern w:val="0"/>
                      <w:position w:val="0"/>
                      <w:szCs w:val="21"/>
                      <w:vertAlign w:val="subscript"/>
                      <w14:textFill>
                        <w14:solidFill>
                          <w14:schemeClr w14:val="tx1"/>
                        </w14:solidFill>
                      </w14:textFill>
                    </w:rPr>
                    <w:t>2</w:t>
                  </w: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年均值</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25</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40</w:t>
                  </w:r>
                </w:p>
              </w:tc>
              <w:tc>
                <w:tcPr>
                  <w:tcW w:w="878"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62.5</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24小时平均第</w:t>
                  </w:r>
                  <w:r>
                    <w:rPr>
                      <w:rFonts w:hint="eastAsia" w:ascii="Times New Roman" w:hAnsi="Times New Roman"/>
                      <w:snapToGrid w:val="0"/>
                      <w:color w:val="000000" w:themeColor="text1"/>
                      <w:spacing w:val="0"/>
                      <w:kern w:val="0"/>
                      <w:position w:val="0"/>
                      <w:szCs w:val="21"/>
                      <w14:textFill>
                        <w14:solidFill>
                          <w14:schemeClr w14:val="tx1"/>
                        </w14:solidFill>
                      </w14:textFill>
                    </w:rPr>
                    <w:t>9</w:t>
                  </w:r>
                  <w:r>
                    <w:rPr>
                      <w:rFonts w:ascii="Times New Roman" w:hAnsi="Times New Roman"/>
                      <w:snapToGrid w:val="0"/>
                      <w:color w:val="000000" w:themeColor="text1"/>
                      <w:spacing w:val="0"/>
                      <w:kern w:val="0"/>
                      <w:position w:val="0"/>
                      <w:szCs w:val="21"/>
                      <w14:textFill>
                        <w14:solidFill>
                          <w14:schemeClr w14:val="tx1"/>
                        </w14:solidFill>
                      </w14:textFill>
                    </w:rPr>
                    <w:t>8百分位数</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53</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hint="eastAsia" w:ascii="Times New Roman" w:hAnsi="Times New Roman"/>
                      <w:snapToGrid w:val="0"/>
                      <w:color w:val="000000" w:themeColor="text1"/>
                      <w:spacing w:val="0"/>
                      <w:kern w:val="0"/>
                      <w:position w:val="0"/>
                      <w:szCs w:val="21"/>
                      <w14:textFill>
                        <w14:solidFill>
                          <w14:schemeClr w14:val="tx1"/>
                        </w14:solidFill>
                      </w14:textFill>
                    </w:rPr>
                    <w:t>8</w:t>
                  </w:r>
                  <w:r>
                    <w:rPr>
                      <w:rFonts w:ascii="Times New Roman" w:hAnsi="Times New Roman"/>
                      <w:snapToGrid w:val="0"/>
                      <w:color w:val="000000" w:themeColor="text1"/>
                      <w:spacing w:val="0"/>
                      <w:kern w:val="0"/>
                      <w:position w:val="0"/>
                      <w:szCs w:val="21"/>
                      <w14:textFill>
                        <w14:solidFill>
                          <w14:schemeClr w14:val="tx1"/>
                        </w14:solidFill>
                      </w14:textFill>
                    </w:rPr>
                    <w:t>0</w:t>
                  </w:r>
                </w:p>
              </w:tc>
              <w:tc>
                <w:tcPr>
                  <w:tcW w:w="878" w:type="pct"/>
                  <w:noWrap w:val="0"/>
                  <w:vAlign w:val="center"/>
                </w:tcPr>
                <w:p>
                  <w:pPr>
                    <w:keepLines w:val="0"/>
                    <w:pageBreakBefore w:val="0"/>
                    <w:kinsoku/>
                    <w:wordWrap w:val="0"/>
                    <w:topLinePunct w:val="0"/>
                    <w:bidi w:val="0"/>
                    <w:adjustRightInd w:val="0"/>
                    <w:snapToGrid w:val="0"/>
                    <w:jc w:val="center"/>
                    <w:rPr>
                      <w:rFonts w:hint="eastAsia" w:ascii="Times New Roman" w:hAnsi="Times New Roman" w:eastAsia="宋体"/>
                      <w:snapToGrid w:val="0"/>
                      <w:color w:val="000000" w:themeColor="text1"/>
                      <w:spacing w:val="0"/>
                      <w:kern w:val="0"/>
                      <w:position w:val="0"/>
                      <w:szCs w:val="21"/>
                      <w:lang w:eastAsia="zh-CN"/>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66.</w:t>
                  </w: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3</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hint="eastAsia" w:ascii="Times New Roman" w:hAnsi="Times New Roman"/>
                      <w:snapToGrid w:val="0"/>
                      <w:color w:val="000000" w:themeColor="text1"/>
                      <w:spacing w:val="0"/>
                      <w:kern w:val="0"/>
                      <w:positio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restar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SO</w:t>
                  </w:r>
                  <w:r>
                    <w:rPr>
                      <w:rFonts w:ascii="Times New Roman" w:hAnsi="Times New Roman"/>
                      <w:color w:val="000000" w:themeColor="text1"/>
                      <w:spacing w:val="0"/>
                      <w:kern w:val="0"/>
                      <w:position w:val="0"/>
                      <w:szCs w:val="21"/>
                      <w:vertAlign w:val="subscript"/>
                      <w14:textFill>
                        <w14:solidFill>
                          <w14:schemeClr w14:val="tx1"/>
                        </w14:solidFill>
                      </w14:textFill>
                    </w:rPr>
                    <w:t>2</w:t>
                  </w: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年均值</w:t>
                  </w:r>
                </w:p>
              </w:tc>
              <w:tc>
                <w:tcPr>
                  <w:tcW w:w="690" w:type="pct"/>
                  <w:noWrap w:val="0"/>
                  <w:vAlign w:val="center"/>
                </w:tcPr>
                <w:p>
                  <w:pPr>
                    <w:keepLines w:val="0"/>
                    <w:pageBreakBefore w:val="0"/>
                    <w:kinsoku/>
                    <w:wordWrap w:val="0"/>
                    <w:topLinePunct w:val="0"/>
                    <w:bidi w:val="0"/>
                    <w:adjustRightInd w:val="0"/>
                    <w:snapToGrid w:val="0"/>
                    <w:jc w:val="center"/>
                    <w:rPr>
                      <w:rFonts w:hint="eastAsia" w:ascii="Times New Roman" w:hAnsi="Times New Roman" w:eastAsia="宋体"/>
                      <w:snapToGrid w:val="0"/>
                      <w:color w:val="000000" w:themeColor="text1"/>
                      <w:spacing w:val="0"/>
                      <w:kern w:val="0"/>
                      <w:position w:val="0"/>
                      <w:szCs w:val="21"/>
                      <w:lang w:eastAsia="zh-CN"/>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1</w:t>
                  </w: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60</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18.3</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vMerge w:val="continue"/>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24小时平均第</w:t>
                  </w:r>
                  <w:r>
                    <w:rPr>
                      <w:rFonts w:hint="eastAsia" w:ascii="Times New Roman" w:hAnsi="Times New Roman"/>
                      <w:snapToGrid w:val="0"/>
                      <w:color w:val="000000" w:themeColor="text1"/>
                      <w:spacing w:val="0"/>
                      <w:kern w:val="0"/>
                      <w:position w:val="0"/>
                      <w:szCs w:val="21"/>
                      <w14:textFill>
                        <w14:solidFill>
                          <w14:schemeClr w14:val="tx1"/>
                        </w14:solidFill>
                      </w14:textFill>
                    </w:rPr>
                    <w:t>9</w:t>
                  </w:r>
                  <w:r>
                    <w:rPr>
                      <w:rFonts w:ascii="Times New Roman" w:hAnsi="Times New Roman"/>
                      <w:snapToGrid w:val="0"/>
                      <w:color w:val="000000" w:themeColor="text1"/>
                      <w:spacing w:val="0"/>
                      <w:kern w:val="0"/>
                      <w:position w:val="0"/>
                      <w:szCs w:val="21"/>
                      <w14:textFill>
                        <w14:solidFill>
                          <w14:schemeClr w14:val="tx1"/>
                        </w14:solidFill>
                      </w14:textFill>
                    </w:rPr>
                    <w:t>8百分位数</w:t>
                  </w:r>
                </w:p>
              </w:tc>
              <w:tc>
                <w:tcPr>
                  <w:tcW w:w="690" w:type="pct"/>
                  <w:noWrap w:val="0"/>
                  <w:vAlign w:val="center"/>
                </w:tcPr>
                <w:p>
                  <w:pPr>
                    <w:keepLines w:val="0"/>
                    <w:pageBreakBefore w:val="0"/>
                    <w:kinsoku/>
                    <w:wordWrap w:val="0"/>
                    <w:topLinePunct w:val="0"/>
                    <w:bidi w:val="0"/>
                    <w:adjustRightInd w:val="0"/>
                    <w:snapToGrid w:val="0"/>
                    <w:jc w:val="center"/>
                    <w:rPr>
                      <w:rFonts w:hint="eastAsia" w:ascii="Times New Roman" w:hAnsi="Times New Roman" w:eastAsia="宋体"/>
                      <w:snapToGrid w:val="0"/>
                      <w:color w:val="000000" w:themeColor="text1"/>
                      <w:spacing w:val="0"/>
                      <w:kern w:val="0"/>
                      <w:position w:val="0"/>
                      <w:szCs w:val="21"/>
                      <w:lang w:eastAsia="zh-CN"/>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2</w:t>
                  </w: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hint="eastAsia" w:ascii="Times New Roman" w:hAnsi="Times New Roman"/>
                      <w:snapToGrid w:val="0"/>
                      <w:color w:val="000000" w:themeColor="text1"/>
                      <w:spacing w:val="0"/>
                      <w:kern w:val="0"/>
                      <w:position w:val="0"/>
                      <w:szCs w:val="21"/>
                      <w14:textFill>
                        <w14:solidFill>
                          <w14:schemeClr w14:val="tx1"/>
                        </w14:solidFill>
                      </w14:textFill>
                    </w:rPr>
                    <w:t>1</w:t>
                  </w:r>
                  <w:r>
                    <w:rPr>
                      <w:rFonts w:ascii="Times New Roman" w:hAnsi="Times New Roman"/>
                      <w:snapToGrid w:val="0"/>
                      <w:color w:val="000000" w:themeColor="text1"/>
                      <w:spacing w:val="0"/>
                      <w:kern w:val="0"/>
                      <w:position w:val="0"/>
                      <w:szCs w:val="21"/>
                      <w14:textFill>
                        <w14:solidFill>
                          <w14:schemeClr w14:val="tx1"/>
                        </w14:solidFill>
                      </w14:textFill>
                    </w:rPr>
                    <w:t>50</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14.0</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hint="eastAsia" w:ascii="Times New Roman" w:hAnsi="Times New Roman"/>
                      <w:snapToGrid w:val="0"/>
                      <w:color w:val="000000" w:themeColor="text1"/>
                      <w:spacing w:val="0"/>
                      <w:kern w:val="0"/>
                      <w:positio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CO</w:t>
                  </w: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24小时平均第</w:t>
                  </w:r>
                  <w:r>
                    <w:rPr>
                      <w:rFonts w:hint="eastAsia" w:ascii="Times New Roman" w:hAnsi="Times New Roman"/>
                      <w:snapToGrid w:val="0"/>
                      <w:color w:val="000000" w:themeColor="text1"/>
                      <w:spacing w:val="0"/>
                      <w:kern w:val="0"/>
                      <w:position w:val="0"/>
                      <w:szCs w:val="21"/>
                      <w14:textFill>
                        <w14:solidFill>
                          <w14:schemeClr w14:val="tx1"/>
                        </w14:solidFill>
                      </w14:textFill>
                    </w:rPr>
                    <w:t>9</w:t>
                  </w:r>
                  <w:r>
                    <w:rPr>
                      <w:rFonts w:ascii="Times New Roman" w:hAnsi="Times New Roman"/>
                      <w:snapToGrid w:val="0"/>
                      <w:color w:val="000000" w:themeColor="text1"/>
                      <w:spacing w:val="0"/>
                      <w:kern w:val="0"/>
                      <w:position w:val="0"/>
                      <w:szCs w:val="21"/>
                      <w14:textFill>
                        <w14:solidFill>
                          <w14:schemeClr w14:val="tx1"/>
                        </w14:solidFill>
                      </w14:textFill>
                    </w:rPr>
                    <w:t>5百分位数</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1</w:t>
                  </w: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2</w:t>
                  </w:r>
                  <w:r>
                    <w:rPr>
                      <w:rFonts w:ascii="Times New Roman" w:hAnsi="Times New Roman"/>
                      <w:snapToGrid w:val="0"/>
                      <w:color w:val="000000" w:themeColor="text1"/>
                      <w:spacing w:val="0"/>
                      <w:kern w:val="0"/>
                      <w:position w:val="0"/>
                      <w:szCs w:val="21"/>
                      <w14:textFill>
                        <w14:solidFill>
                          <w14:schemeClr w14:val="tx1"/>
                        </w14:solidFill>
                      </w14:textFill>
                    </w:rPr>
                    <w:t>00</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4000</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30.0</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40" w:hRule="atLeast"/>
              </w:trPr>
              <w:tc>
                <w:tcPr>
                  <w:tcW w:w="524" w:type="pct"/>
                  <w:noWrap w:val="0"/>
                  <w:vAlign w:val="center"/>
                </w:tcPr>
                <w:p>
                  <w:pPr>
                    <w:keepLines w:val="0"/>
                    <w:pageBreakBefore w:val="0"/>
                    <w:kinsoku/>
                    <w:wordWrap w:val="0"/>
                    <w:topLinePunct w:val="0"/>
                    <w:bidi w:val="0"/>
                    <w:jc w:val="center"/>
                    <w:rPr>
                      <w:rFonts w:ascii="Times New Roman" w:hAnsi="Times New Roman"/>
                      <w:color w:val="000000" w:themeColor="text1"/>
                      <w:spacing w:val="0"/>
                      <w:kern w:val="0"/>
                      <w:position w:val="0"/>
                      <w:szCs w:val="21"/>
                      <w14:textFill>
                        <w14:solidFill>
                          <w14:schemeClr w14:val="tx1"/>
                        </w14:solidFill>
                      </w14:textFill>
                    </w:rPr>
                  </w:pPr>
                  <w:r>
                    <w:rPr>
                      <w:rFonts w:ascii="Times New Roman" w:hAnsi="Times New Roman"/>
                      <w:color w:val="000000" w:themeColor="text1"/>
                      <w:spacing w:val="0"/>
                      <w:kern w:val="0"/>
                      <w:position w:val="0"/>
                      <w:szCs w:val="21"/>
                      <w14:textFill>
                        <w14:solidFill>
                          <w14:schemeClr w14:val="tx1"/>
                        </w14:solidFill>
                      </w14:textFill>
                    </w:rPr>
                    <w:t>O</w:t>
                  </w:r>
                  <w:r>
                    <w:rPr>
                      <w:rFonts w:ascii="Times New Roman" w:hAnsi="Times New Roman"/>
                      <w:color w:val="000000" w:themeColor="text1"/>
                      <w:spacing w:val="0"/>
                      <w:kern w:val="0"/>
                      <w:position w:val="0"/>
                      <w:szCs w:val="21"/>
                      <w:vertAlign w:val="subscript"/>
                      <w14:textFill>
                        <w14:solidFill>
                          <w14:schemeClr w14:val="tx1"/>
                        </w14:solidFill>
                      </w14:textFill>
                    </w:rPr>
                    <w:t>3</w:t>
                  </w:r>
                </w:p>
              </w:tc>
              <w:tc>
                <w:tcPr>
                  <w:tcW w:w="158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日最大8小时</w:t>
                  </w: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滑动</w:t>
                  </w:r>
                  <w:r>
                    <w:rPr>
                      <w:rFonts w:ascii="Times New Roman" w:hAnsi="Times New Roman"/>
                      <w:snapToGrid w:val="0"/>
                      <w:color w:val="000000" w:themeColor="text1"/>
                      <w:spacing w:val="0"/>
                      <w:kern w:val="0"/>
                      <w:position w:val="0"/>
                      <w:szCs w:val="21"/>
                      <w14:textFill>
                        <w14:solidFill>
                          <w14:schemeClr w14:val="tx1"/>
                        </w14:solidFill>
                      </w14:textFill>
                    </w:rPr>
                    <w:t>平均</w:t>
                  </w:r>
                  <w:r>
                    <w:rPr>
                      <w:rFonts w:hint="eastAsia" w:ascii="Times New Roman" w:hAnsi="Times New Roman"/>
                      <w:snapToGrid w:val="0"/>
                      <w:color w:val="000000" w:themeColor="text1"/>
                      <w:spacing w:val="0"/>
                      <w:kern w:val="0"/>
                      <w:position w:val="0"/>
                      <w:szCs w:val="21"/>
                      <w:lang w:eastAsia="zh-CN"/>
                      <w14:textFill>
                        <w14:solidFill>
                          <w14:schemeClr w14:val="tx1"/>
                        </w14:solidFill>
                      </w14:textFill>
                    </w:rPr>
                    <w:t>的</w:t>
                  </w:r>
                  <w:r>
                    <w:rPr>
                      <w:rFonts w:ascii="Times New Roman" w:hAnsi="Times New Roman"/>
                      <w:snapToGrid w:val="0"/>
                      <w:color w:val="000000" w:themeColor="text1"/>
                      <w:spacing w:val="0"/>
                      <w:kern w:val="0"/>
                      <w:position w:val="0"/>
                      <w:szCs w:val="21"/>
                      <w14:textFill>
                        <w14:solidFill>
                          <w14:schemeClr w14:val="tx1"/>
                        </w14:solidFill>
                      </w14:textFill>
                    </w:rPr>
                    <w:t>第90百分位数</w:t>
                  </w:r>
                </w:p>
              </w:tc>
              <w:tc>
                <w:tcPr>
                  <w:tcW w:w="690"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1</w:t>
                  </w: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01</w:t>
                  </w:r>
                </w:p>
              </w:tc>
              <w:tc>
                <w:tcPr>
                  <w:tcW w:w="690"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160</w:t>
                  </w:r>
                </w:p>
              </w:tc>
              <w:tc>
                <w:tcPr>
                  <w:tcW w:w="878" w:type="pct"/>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snapToGrid w:val="0"/>
                      <w:color w:val="000000" w:themeColor="text1"/>
                      <w:spacing w:val="0"/>
                      <w:kern w:val="0"/>
                      <w:position w:val="0"/>
                      <w:szCs w:val="21"/>
                      <w:lang w:val="en-US" w:eastAsia="zh-CN"/>
                      <w14:textFill>
                        <w14:solidFill>
                          <w14:schemeClr w14:val="tx1"/>
                        </w14:solidFill>
                      </w14:textFill>
                    </w:rPr>
                  </w:pPr>
                  <w:r>
                    <w:rPr>
                      <w:rFonts w:hint="eastAsia" w:ascii="Times New Roman" w:hAnsi="Times New Roman"/>
                      <w:snapToGrid w:val="0"/>
                      <w:color w:val="000000" w:themeColor="text1"/>
                      <w:spacing w:val="0"/>
                      <w:kern w:val="0"/>
                      <w:position w:val="0"/>
                      <w:szCs w:val="21"/>
                      <w:lang w:val="en-US" w:eastAsia="zh-CN"/>
                      <w14:textFill>
                        <w14:solidFill>
                          <w14:schemeClr w14:val="tx1"/>
                        </w14:solidFill>
                      </w14:textFill>
                    </w:rPr>
                    <w:t>63.0</w:t>
                  </w:r>
                </w:p>
              </w:tc>
              <w:tc>
                <w:tcPr>
                  <w:tcW w:w="634" w:type="pct"/>
                  <w:noWrap w:val="0"/>
                  <w:vAlign w:val="center"/>
                </w:tcPr>
                <w:p>
                  <w:pPr>
                    <w:keepLines w:val="0"/>
                    <w:pageBreakBefore w:val="0"/>
                    <w:kinsoku/>
                    <w:wordWrap w:val="0"/>
                    <w:topLinePunct w:val="0"/>
                    <w:bidi w:val="0"/>
                    <w:adjustRightInd w:val="0"/>
                    <w:snapToGrid w:val="0"/>
                    <w:jc w:val="center"/>
                    <w:rPr>
                      <w:rFonts w:ascii="Times New Roman" w:hAnsi="Times New Roman"/>
                      <w:snapToGrid w:val="0"/>
                      <w:color w:val="000000" w:themeColor="text1"/>
                      <w:spacing w:val="0"/>
                      <w:kern w:val="0"/>
                      <w:position w:val="0"/>
                      <w:szCs w:val="21"/>
                      <w14:textFill>
                        <w14:solidFill>
                          <w14:schemeClr w14:val="tx1"/>
                        </w14:solidFill>
                      </w14:textFill>
                    </w:rPr>
                  </w:pPr>
                  <w:r>
                    <w:rPr>
                      <w:rFonts w:ascii="Times New Roman" w:hAnsi="Times New Roman"/>
                      <w:snapToGrid w:val="0"/>
                      <w:color w:val="000000" w:themeColor="text1"/>
                      <w:spacing w:val="0"/>
                      <w:kern w:val="0"/>
                      <w:position w:val="0"/>
                      <w:szCs w:val="21"/>
                      <w14:textFill>
                        <w14:solidFill>
                          <w14:schemeClr w14:val="tx1"/>
                        </w14:solidFill>
                      </w14:textFill>
                    </w:rPr>
                    <w:t>达标</w:t>
                  </w:r>
                </w:p>
              </w:tc>
            </w:tr>
          </w:tbl>
          <w:p>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both"/>
              <w:textAlignment w:val="auto"/>
              <w:outlineLvl w:val="3"/>
              <w:rPr>
                <w:rFonts w:ascii="Times New Roman" w:hAnsi="Times New Roman"/>
                <w:color w:val="000000" w:themeColor="text1"/>
                <w:spacing w:val="0"/>
                <w:kern w:val="0"/>
                <w:position w:val="0"/>
                <w:sz w:val="24"/>
                <w14:textFill>
                  <w14:solidFill>
                    <w14:schemeClr w14:val="tx1"/>
                  </w14:solidFill>
                </w14:textFill>
              </w:rPr>
            </w:pPr>
            <w:r>
              <w:rPr>
                <w:rFonts w:ascii="Times New Roman" w:hAnsi="Times New Roman"/>
                <w:color w:val="000000" w:themeColor="text1"/>
                <w:spacing w:val="0"/>
                <w:kern w:val="0"/>
                <w:position w:val="0"/>
                <w:sz w:val="24"/>
                <w14:textFill>
                  <w14:solidFill>
                    <w14:schemeClr w14:val="tx1"/>
                  </w14:solidFill>
                </w14:textFill>
              </w:rPr>
              <w:t>由表3</w:t>
            </w:r>
            <w:r>
              <w:rPr>
                <w:rFonts w:hint="eastAsia" w:ascii="Times New Roman" w:hAnsi="Times New Roman"/>
                <w:color w:val="000000" w:themeColor="text1"/>
                <w:spacing w:val="0"/>
                <w:kern w:val="0"/>
                <w:position w:val="0"/>
                <w:sz w:val="24"/>
                <w14:textFill>
                  <w14:solidFill>
                    <w14:schemeClr w14:val="tx1"/>
                  </w14:solidFill>
                </w14:textFill>
              </w:rPr>
              <w:t>-1</w:t>
            </w:r>
            <w:r>
              <w:rPr>
                <w:rFonts w:ascii="Times New Roman" w:hAnsi="Times New Roman"/>
                <w:color w:val="000000" w:themeColor="text1"/>
                <w:spacing w:val="0"/>
                <w:kern w:val="0"/>
                <w:position w:val="0"/>
                <w:sz w:val="24"/>
                <w14:textFill>
                  <w14:solidFill>
                    <w14:schemeClr w14:val="tx1"/>
                  </w14:solidFill>
                </w14:textFill>
              </w:rPr>
              <w:t>可知，202</w:t>
            </w:r>
            <w:r>
              <w:rPr>
                <w:rFonts w:hint="eastAsia" w:ascii="Times New Roman" w:hAnsi="Times New Roman"/>
                <w:color w:val="000000" w:themeColor="text1"/>
                <w:spacing w:val="0"/>
                <w:kern w:val="0"/>
                <w:position w:val="0"/>
                <w:sz w:val="24"/>
                <w:lang w:val="en-US" w:eastAsia="zh-CN"/>
                <w14:textFill>
                  <w14:solidFill>
                    <w14:schemeClr w14:val="tx1"/>
                  </w14:solidFill>
                </w14:textFill>
              </w:rPr>
              <w:t>1</w:t>
            </w:r>
            <w:r>
              <w:rPr>
                <w:rFonts w:ascii="Times New Roman" w:hAnsi="Times New Roman"/>
                <w:color w:val="000000" w:themeColor="text1"/>
                <w:spacing w:val="0"/>
                <w:kern w:val="0"/>
                <w:position w:val="0"/>
                <w:sz w:val="24"/>
                <w14:textFill>
                  <w14:solidFill>
                    <w14:schemeClr w14:val="tx1"/>
                  </w14:solidFill>
                </w14:textFill>
              </w:rPr>
              <w:t>年</w:t>
            </w:r>
            <w:r>
              <w:rPr>
                <w:rFonts w:hint="eastAsia" w:ascii="Times New Roman" w:hAnsi="Times New Roman"/>
                <w:color w:val="000000" w:themeColor="text1"/>
                <w:spacing w:val="0"/>
                <w:kern w:val="0"/>
                <w:position w:val="0"/>
                <w:sz w:val="24"/>
                <w14:textFill>
                  <w14:solidFill>
                    <w14:schemeClr w14:val="tx1"/>
                  </w14:solidFill>
                </w14:textFill>
              </w:rPr>
              <w:t>襄城县</w:t>
            </w:r>
            <w:r>
              <w:rPr>
                <w:rFonts w:ascii="Times New Roman" w:hAnsi="Times New Roman"/>
                <w:color w:val="000000" w:themeColor="text1"/>
                <w:spacing w:val="0"/>
                <w:kern w:val="0"/>
                <w:position w:val="0"/>
                <w:sz w:val="24"/>
                <w14:textFill>
                  <w14:solidFill>
                    <w14:schemeClr w14:val="tx1"/>
                  </w14:solidFill>
                </w14:textFill>
              </w:rPr>
              <w:t>PM</w:t>
            </w:r>
            <w:r>
              <w:rPr>
                <w:rFonts w:ascii="Times New Roman" w:hAnsi="Times New Roman"/>
                <w:color w:val="000000" w:themeColor="text1"/>
                <w:spacing w:val="0"/>
                <w:kern w:val="0"/>
                <w:position w:val="0"/>
                <w:sz w:val="24"/>
                <w:vertAlign w:val="subscript"/>
                <w14:textFill>
                  <w14:solidFill>
                    <w14:schemeClr w14:val="tx1"/>
                  </w14:solidFill>
                </w14:textFill>
              </w:rPr>
              <w:t>2.5</w:t>
            </w:r>
            <w:r>
              <w:rPr>
                <w:rFonts w:ascii="Times New Roman" w:hAnsi="Times New Roman"/>
                <w:color w:val="000000" w:themeColor="text1"/>
                <w:spacing w:val="0"/>
                <w:kern w:val="0"/>
                <w:position w:val="0"/>
                <w:sz w:val="24"/>
                <w14:textFill>
                  <w14:solidFill>
                    <w14:schemeClr w14:val="tx1"/>
                  </w14:solidFill>
                </w14:textFill>
              </w:rPr>
              <w:t>、PM</w:t>
            </w:r>
            <w:r>
              <w:rPr>
                <w:rFonts w:ascii="Times New Roman" w:hAnsi="Times New Roman"/>
                <w:color w:val="000000" w:themeColor="text1"/>
                <w:spacing w:val="0"/>
                <w:kern w:val="0"/>
                <w:position w:val="0"/>
                <w:sz w:val="24"/>
                <w:vertAlign w:val="subscript"/>
                <w14:textFill>
                  <w14:solidFill>
                    <w14:schemeClr w14:val="tx1"/>
                  </w14:solidFill>
                </w14:textFill>
              </w:rPr>
              <w:t>10</w:t>
            </w:r>
            <w:r>
              <w:rPr>
                <w:rFonts w:ascii="Times New Roman" w:hAnsi="Times New Roman"/>
                <w:color w:val="000000" w:themeColor="text1"/>
                <w:spacing w:val="0"/>
                <w:kern w:val="0"/>
                <w:position w:val="0"/>
                <w:sz w:val="24"/>
                <w14:textFill>
                  <w14:solidFill>
                    <w14:schemeClr w14:val="tx1"/>
                  </w14:solidFill>
                </w14:textFill>
              </w:rPr>
              <w:t>不</w:t>
            </w:r>
            <w:r>
              <w:rPr>
                <w:rFonts w:hint="eastAsia" w:ascii="Times New Roman" w:hAnsi="Times New Roman"/>
                <w:color w:val="000000" w:themeColor="text1"/>
                <w:spacing w:val="0"/>
                <w:kern w:val="0"/>
                <w:position w:val="0"/>
                <w:sz w:val="24"/>
                <w:lang w:val="en-US" w:eastAsia="zh-CN"/>
                <w14:textFill>
                  <w14:solidFill>
                    <w14:schemeClr w14:val="tx1"/>
                  </w14:solidFill>
                </w14:textFill>
              </w:rPr>
              <w:t>达标</w:t>
            </w:r>
            <w:r>
              <w:rPr>
                <w:rFonts w:ascii="Times New Roman" w:hAnsi="Times New Roman"/>
                <w:color w:val="000000" w:themeColor="text1"/>
                <w:spacing w:val="0"/>
                <w:kern w:val="0"/>
                <w:position w:val="0"/>
                <w:sz w:val="24"/>
                <w14:textFill>
                  <w14:solidFill>
                    <w14:schemeClr w14:val="tx1"/>
                  </w14:solidFill>
                </w14:textFill>
              </w:rPr>
              <w:t>，</w:t>
            </w:r>
            <w:r>
              <w:rPr>
                <w:rFonts w:hint="eastAsia" w:ascii="Times New Roman" w:hAnsi="Times New Roman"/>
                <w:color w:val="000000" w:themeColor="text1"/>
                <w:spacing w:val="0"/>
                <w:kern w:val="0"/>
                <w:position w:val="0"/>
                <w:sz w:val="24"/>
                <w:lang w:val="en-US" w:eastAsia="zh-CN"/>
                <w14:textFill>
                  <w14:solidFill>
                    <w14:schemeClr w14:val="tx1"/>
                  </w14:solidFill>
                </w14:textFill>
              </w:rPr>
              <w:t>项目</w:t>
            </w:r>
            <w:r>
              <w:rPr>
                <w:rFonts w:ascii="Times New Roman" w:hAnsi="Times New Roman"/>
                <w:color w:val="000000" w:themeColor="text1"/>
                <w:spacing w:val="0"/>
                <w:kern w:val="0"/>
                <w:position w:val="0"/>
                <w:sz w:val="24"/>
                <w14:textFill>
                  <w14:solidFill>
                    <w14:schemeClr w14:val="tx1"/>
                  </w14:solidFill>
                </w14:textFill>
              </w:rPr>
              <w:t>所在区域空气质量为不达标区。</w:t>
            </w:r>
          </w:p>
          <w:p>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both"/>
              <w:textAlignment w:val="auto"/>
              <w:outlineLvl w:val="3"/>
              <w:rPr>
                <w:rFonts w:ascii="Times New Roman" w:hAnsi="Times New Roman"/>
                <w:color w:val="000000" w:themeColor="text1"/>
                <w:spacing w:val="0"/>
                <w:kern w:val="0"/>
                <w:position w:val="0"/>
                <w:sz w:val="24"/>
                <w14:textFill>
                  <w14:solidFill>
                    <w14:schemeClr w14:val="tx1"/>
                  </w14:solidFill>
                </w14:textFill>
              </w:rPr>
            </w:pPr>
            <w:r>
              <w:rPr>
                <w:rFonts w:hint="eastAsia" w:ascii="Times New Roman" w:hAnsi="Times New Roman" w:eastAsia="宋体" w:cs="宋体"/>
                <w:color w:val="000000" w:themeColor="text1"/>
                <w:spacing w:val="0"/>
                <w:kern w:val="0"/>
                <w:position w:val="0"/>
                <w:sz w:val="24"/>
                <w:szCs w:val="24"/>
                <w:lang w:val="en-US" w:eastAsia="zh-CN" w:bidi="ar"/>
                <w14:textFill>
                  <w14:solidFill>
                    <w14:schemeClr w14:val="tx1"/>
                  </w14:solidFill>
                </w14:textFill>
              </w:rPr>
              <w:t>为改善环境空气质量，许昌市印发了《许昌市 2023 年蓝天保卫战实施方案的通知》（许环委办〔2023〕3 号），通过推进煤电结构优化调整、工业炉窑清洁能源替代、清洁取暖提质工程建设、散煤污染治理、重点领域节能降碳改造、加快物流运输通道建设、提升大宗货物清洁运输水平、加强扬尘污染防治精细化管理等一系列措施的实施，襄城县环境空气质量将得以改善。</w:t>
            </w:r>
            <w:bookmarkEnd w:id="3"/>
          </w:p>
          <w:p>
            <w:pPr>
              <w:keepLines w:val="0"/>
              <w:pageBreakBefore w:val="0"/>
              <w:kinsoku/>
              <w:wordWrap w:val="0"/>
              <w:topLinePunct w:val="0"/>
              <w:bidi w:val="0"/>
              <w:adjustRightInd w:val="0"/>
              <w:snapToGrid w:val="0"/>
              <w:spacing w:line="500" w:lineRule="exact"/>
              <w:jc w:val="left"/>
              <w:outlineLvl w:val="2"/>
              <w:rPr>
                <w:rFonts w:hint="default" w:ascii="Times New Roman" w:hAnsi="Times New Roman" w:eastAsia="宋体" w:cs="Times New Roman"/>
                <w:b/>
                <w:color w:val="000000" w:themeColor="text1"/>
                <w:spacing w:val="0"/>
                <w:position w:val="0"/>
                <w:sz w:val="24"/>
                <w:szCs w:val="20"/>
                <w14:textFill>
                  <w14:solidFill>
                    <w14:schemeClr w14:val="tx1"/>
                  </w14:solidFill>
                </w14:textFill>
              </w:rPr>
            </w:pPr>
            <w:r>
              <w:rPr>
                <w:rFonts w:hint="eastAsia" w:ascii="Times New Roman" w:hAnsi="Times New Roman" w:eastAsia="宋体" w:cs="Times New Roman"/>
                <w:b/>
                <w:color w:val="000000" w:themeColor="text1"/>
                <w:spacing w:val="0"/>
                <w:position w:val="0"/>
                <w:sz w:val="24"/>
                <w:szCs w:val="20"/>
                <w14:textFill>
                  <w14:solidFill>
                    <w14:schemeClr w14:val="tx1"/>
                  </w14:solidFill>
                </w14:textFill>
              </w:rPr>
              <w:t>3</w:t>
            </w:r>
            <w:r>
              <w:rPr>
                <w:rFonts w:hint="default" w:ascii="Times New Roman" w:hAnsi="Times New Roman" w:eastAsia="宋体" w:cs="Times New Roman"/>
                <w:b/>
                <w:color w:val="000000" w:themeColor="text1"/>
                <w:spacing w:val="0"/>
                <w:position w:val="0"/>
                <w:sz w:val="24"/>
                <w:szCs w:val="20"/>
                <w14:textFill>
                  <w14:solidFill>
                    <w14:schemeClr w14:val="tx1"/>
                  </w14:solidFill>
                </w14:textFill>
              </w:rPr>
              <w:t>.1.2</w:t>
            </w:r>
            <w:r>
              <w:rPr>
                <w:rFonts w:hint="eastAsia" w:ascii="Times New Roman" w:hAnsi="Times New Roman" w:eastAsia="宋体" w:cs="Times New Roman"/>
                <w:b/>
                <w:color w:val="000000" w:themeColor="text1"/>
                <w:spacing w:val="0"/>
                <w:position w:val="0"/>
                <w:sz w:val="24"/>
                <w:szCs w:val="20"/>
                <w:lang w:val="en-US" w:eastAsia="zh-CN"/>
                <w14:textFill>
                  <w14:solidFill>
                    <w14:schemeClr w14:val="tx1"/>
                  </w14:solidFill>
                </w14:textFill>
              </w:rPr>
              <w:t xml:space="preserve"> </w:t>
            </w:r>
            <w:r>
              <w:rPr>
                <w:rFonts w:hint="eastAsia" w:ascii="Times New Roman" w:hAnsi="Times New Roman" w:eastAsia="宋体" w:cs="Times New Roman"/>
                <w:b/>
                <w:color w:val="000000" w:themeColor="text1"/>
                <w:spacing w:val="0"/>
                <w:position w:val="0"/>
                <w:sz w:val="24"/>
                <w:szCs w:val="20"/>
                <w14:textFill>
                  <w14:solidFill>
                    <w14:schemeClr w14:val="tx1"/>
                  </w14:solidFill>
                </w14:textFill>
              </w:rPr>
              <w:t>特征污染物现状质量评价</w:t>
            </w:r>
          </w:p>
          <w:p>
            <w:pPr>
              <w:keepLines w:val="0"/>
              <w:pageBreakBefore w:val="0"/>
              <w:kinsoku/>
              <w:wordWrap w:val="0"/>
              <w:topLinePunct w:val="0"/>
              <w:bidi w:val="0"/>
              <w:spacing w:line="360" w:lineRule="auto"/>
              <w:ind w:firstLine="480" w:firstLineChars="200"/>
              <w:rPr>
                <w:rFonts w:hint="eastAsia" w:ascii="Times New Roman" w:hAnsi="Times New Roman"/>
                <w:color w:val="000000" w:themeColor="text1"/>
                <w:spacing w:val="0"/>
                <w:kern w:val="0"/>
                <w:position w:val="0"/>
                <w:sz w:val="24"/>
                <w:szCs w:val="20"/>
                <w:lang w:val="en-US" w:eastAsia="zh-CN"/>
                <w14:textFill>
                  <w14:solidFill>
                    <w14:schemeClr w14:val="tx1"/>
                  </w14:solidFill>
                </w14:textFill>
              </w:rPr>
            </w:pPr>
            <w:r>
              <w:rPr>
                <w:rFonts w:hint="eastAsia" w:ascii="Times New Roman" w:hAnsi="Times New Roman"/>
                <w:color w:val="000000" w:themeColor="text1"/>
                <w:spacing w:val="0"/>
                <w:kern w:val="0"/>
                <w:position w:val="0"/>
                <w:sz w:val="24"/>
                <w:szCs w:val="20"/>
                <w:lang w:val="en-US" w:eastAsia="zh-CN"/>
                <w14:textFill>
                  <w14:solidFill>
                    <w14:schemeClr w14:val="tx1"/>
                  </w14:solidFill>
                </w14:textFill>
              </w:rPr>
              <w:t>非甲烷总烃环境质量现状引用《襄城县永卓粘合剂有限公司年产8000吨聚氨酯胶黏剂、4000吨氯丁橡胶黏剂项目环境影响报告书》中，河南森邦环境检测技术有限公司于2022年9月30日至2021年10月9日，对襄城县永卓粘合剂有限公司厂址的现状监测数据进行说明。监测结果见下表。</w:t>
            </w:r>
          </w:p>
          <w:p>
            <w:pPr>
              <w:keepLines w:val="0"/>
              <w:pageBreakBefore w:val="0"/>
              <w:kinsoku/>
              <w:wordWrap w:val="0"/>
              <w:topLinePunct w:val="0"/>
              <w:bidi w:val="0"/>
              <w:spacing w:line="240" w:lineRule="auto"/>
              <w:ind w:firstLine="422" w:firstLineChars="200"/>
              <w:jc w:val="center"/>
              <w:rPr>
                <w:rFonts w:hint="eastAsia" w:ascii="Times New Roman" w:hAnsi="Times New Roman"/>
                <w:b/>
                <w:bCs/>
                <w:color w:val="000000" w:themeColor="text1"/>
                <w:spacing w:val="0"/>
                <w:kern w:val="0"/>
                <w:position w:val="0"/>
                <w:sz w:val="21"/>
                <w:szCs w:val="16"/>
                <w:lang w:val="en-US" w:eastAsia="zh-CN"/>
                <w14:textFill>
                  <w14:solidFill>
                    <w14:schemeClr w14:val="tx1"/>
                  </w14:solidFill>
                </w14:textFill>
              </w:rPr>
            </w:pPr>
            <w:r>
              <w:rPr>
                <w:rFonts w:hint="eastAsia" w:ascii="Times New Roman" w:hAnsi="Times New Roman"/>
                <w:b/>
                <w:bCs/>
                <w:color w:val="000000" w:themeColor="text1"/>
                <w:spacing w:val="0"/>
                <w:kern w:val="0"/>
                <w:position w:val="0"/>
                <w:sz w:val="21"/>
                <w:szCs w:val="16"/>
                <w:lang w:val="en-US" w:eastAsia="zh-CN"/>
                <w14:textFill>
                  <w14:solidFill>
                    <w14:schemeClr w14:val="tx1"/>
                  </w14:solidFill>
                </w14:textFill>
              </w:rPr>
              <w:t>表3-2  特征污染物现状质量</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2990"/>
              <w:gridCol w:w="1288"/>
              <w:gridCol w:w="1342"/>
              <w:gridCol w:w="1221"/>
              <w:gridCol w:w="113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rPr>
                <w:trHeight w:val="483" w:hRule="atLeast"/>
              </w:trPr>
              <w:tc>
                <w:tcPr>
                  <w:tcW w:w="1874"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检测点位</w:t>
                  </w:r>
                </w:p>
              </w:tc>
              <w:tc>
                <w:tcPr>
                  <w:tcW w:w="80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检测项目</w:t>
                  </w:r>
                </w:p>
              </w:tc>
              <w:tc>
                <w:tcPr>
                  <w:tcW w:w="84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平均时间</w:t>
                  </w:r>
                </w:p>
              </w:tc>
              <w:tc>
                <w:tcPr>
                  <w:tcW w:w="7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检测结果（mg/m</w:t>
                  </w:r>
                  <w:r>
                    <w:rPr>
                      <w:rFonts w:hint="default" w:ascii="Times New Roman" w:hAnsi="Times New Roman" w:eastAsia="宋体" w:cs="Times New Roman"/>
                      <w:color w:val="000000" w:themeColor="text1"/>
                      <w:spacing w:val="0"/>
                      <w:kern w:val="0"/>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w:t>
                  </w:r>
                </w:p>
              </w:tc>
              <w:tc>
                <w:tcPr>
                  <w:tcW w:w="71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标准值（mg/m</w:t>
                  </w:r>
                  <w:r>
                    <w:rPr>
                      <w:rFonts w:hint="default" w:ascii="Times New Roman" w:hAnsi="Times New Roman" w:eastAsia="宋体" w:cs="Times New Roman"/>
                      <w:color w:val="000000" w:themeColor="text1"/>
                      <w:spacing w:val="0"/>
                      <w:kern w:val="0"/>
                      <w:position w:val="0"/>
                      <w:sz w:val="21"/>
                      <w:szCs w:val="21"/>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79" w:hRule="atLeast"/>
              </w:trPr>
              <w:tc>
                <w:tcPr>
                  <w:tcW w:w="1874"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襄城县永卓粘合剂有限公司（西北侧198m）</w:t>
                  </w:r>
                </w:p>
              </w:tc>
              <w:tc>
                <w:tcPr>
                  <w:tcW w:w="807"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非甲烷总烃</w:t>
                  </w:r>
                </w:p>
              </w:tc>
              <w:tc>
                <w:tcPr>
                  <w:tcW w:w="84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1小时平均</w:t>
                  </w:r>
                </w:p>
              </w:tc>
              <w:tc>
                <w:tcPr>
                  <w:tcW w:w="7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0.34~0.58</w:t>
                  </w:r>
                </w:p>
              </w:tc>
              <w:tc>
                <w:tcPr>
                  <w:tcW w:w="71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kern w:val="0"/>
                      <w:position w:val="0"/>
                      <w:sz w:val="21"/>
                      <w:szCs w:val="21"/>
                      <w:vertAlign w:val="baseline"/>
                      <w:lang w:val="en-US" w:eastAsia="zh-CN"/>
                      <w14:textFill>
                        <w14:solidFill>
                          <w14:schemeClr w14:val="tx1"/>
                        </w14:solidFill>
                      </w14:textFill>
                    </w:rPr>
                    <w:t>2.0</w:t>
                  </w:r>
                </w:p>
              </w:tc>
            </w:tr>
          </w:tbl>
          <w:p>
            <w:pPr>
              <w:keepLines w:val="0"/>
              <w:pageBreakBefore w:val="0"/>
              <w:kinsoku/>
              <w:wordWrap w:val="0"/>
              <w:topLinePunct w:val="0"/>
              <w:bidi w:val="0"/>
              <w:spacing w:line="360" w:lineRule="auto"/>
              <w:ind w:firstLine="480" w:firstLineChars="200"/>
              <w:rPr>
                <w:rFonts w:ascii="Times New Roman" w:hAnsi="Times New Roman"/>
                <w:color w:val="000000" w:themeColor="text1"/>
                <w:kern w:val="0"/>
                <w:sz w:val="24"/>
                <w:szCs w:val="20"/>
                <w14:textFill>
                  <w14:solidFill>
                    <w14:schemeClr w14:val="tx1"/>
                  </w14:solidFill>
                </w14:textFill>
              </w:rPr>
            </w:pPr>
            <w:r>
              <w:rPr>
                <w:rFonts w:ascii="Times New Roman" w:hAnsi="Times New Roman"/>
                <w:color w:val="000000" w:themeColor="text1"/>
                <w:kern w:val="0"/>
                <w:sz w:val="24"/>
                <w:szCs w:val="20"/>
                <w14:textFill>
                  <w14:solidFill>
                    <w14:schemeClr w14:val="tx1"/>
                  </w14:solidFill>
                </w14:textFill>
              </w:rPr>
              <w:t>根据监测</w:t>
            </w:r>
            <w:r>
              <w:rPr>
                <w:rFonts w:hint="eastAsia" w:ascii="Times New Roman" w:hAnsi="Times New Roman"/>
                <w:color w:val="000000" w:themeColor="text1"/>
                <w:kern w:val="0"/>
                <w:sz w:val="24"/>
                <w:szCs w:val="20"/>
                <w14:textFill>
                  <w14:solidFill>
                    <w14:schemeClr w14:val="tx1"/>
                  </w14:solidFill>
                </w14:textFill>
              </w:rPr>
              <w:t>数据</w:t>
            </w:r>
            <w:r>
              <w:rPr>
                <w:rFonts w:ascii="Times New Roman" w:hAnsi="Times New Roman"/>
                <w:color w:val="000000" w:themeColor="text1"/>
                <w:kern w:val="0"/>
                <w:sz w:val="24"/>
                <w:szCs w:val="20"/>
                <w14:textFill>
                  <w14:solidFill>
                    <w14:schemeClr w14:val="tx1"/>
                  </w14:solidFill>
                </w14:textFill>
              </w:rPr>
              <w:t>可知，</w:t>
            </w:r>
            <w:r>
              <w:rPr>
                <w:rFonts w:hint="eastAsia" w:ascii="Times New Roman" w:hAnsi="Times New Roman"/>
                <w:color w:val="000000" w:themeColor="text1"/>
                <w:kern w:val="0"/>
                <w:sz w:val="24"/>
                <w:szCs w:val="20"/>
                <w14:textFill>
                  <w14:solidFill>
                    <w14:schemeClr w14:val="tx1"/>
                  </w14:solidFill>
                </w14:textFill>
              </w:rPr>
              <w:t>非甲烷总烃监测浓度</w:t>
            </w:r>
            <w:r>
              <w:rPr>
                <w:rFonts w:ascii="Times New Roman" w:hAnsi="Times New Roman"/>
                <w:color w:val="000000" w:themeColor="text1"/>
                <w:kern w:val="0"/>
                <w:sz w:val="24"/>
                <w:szCs w:val="20"/>
                <w14:textFill>
                  <w14:solidFill>
                    <w14:schemeClr w14:val="tx1"/>
                  </w14:solidFill>
                </w14:textFill>
              </w:rPr>
              <w:t>满足《大气污染物综合排放标准详解》</w:t>
            </w:r>
            <w:r>
              <w:rPr>
                <w:rFonts w:hint="eastAsia" w:ascii="Times New Roman" w:hAnsi="Times New Roman"/>
                <w:color w:val="000000" w:themeColor="text1"/>
                <w:kern w:val="0"/>
                <w:sz w:val="24"/>
                <w:szCs w:val="20"/>
                <w:lang w:val="en-US" w:eastAsia="zh-CN"/>
                <w14:textFill>
                  <w14:solidFill>
                    <w14:schemeClr w14:val="tx1"/>
                  </w14:solidFill>
                </w14:textFill>
              </w:rPr>
              <w:t>中标准</w:t>
            </w:r>
            <w:r>
              <w:rPr>
                <w:rFonts w:ascii="Times New Roman" w:hAnsi="Times New Roman"/>
                <w:color w:val="000000" w:themeColor="text1"/>
                <w:kern w:val="0"/>
                <w:sz w:val="24"/>
                <w:szCs w:val="20"/>
                <w14:textFill>
                  <w14:solidFill>
                    <w14:schemeClr w14:val="tx1"/>
                  </w14:solidFill>
                </w14:textFill>
              </w:rPr>
              <w:t>限</w:t>
            </w:r>
            <w:r>
              <w:rPr>
                <w:rFonts w:hint="eastAsia" w:ascii="Times New Roman" w:hAnsi="Times New Roman"/>
                <w:color w:val="000000" w:themeColor="text1"/>
                <w:kern w:val="0"/>
                <w:sz w:val="24"/>
                <w:szCs w:val="20"/>
                <w14:textFill>
                  <w14:solidFill>
                    <w14:schemeClr w14:val="tx1"/>
                  </w14:solidFill>
                </w14:textFill>
              </w:rPr>
              <w:t>值</w:t>
            </w:r>
            <w:r>
              <w:rPr>
                <w:rFonts w:ascii="Times New Roman" w:hAnsi="Times New Roman"/>
                <w:color w:val="000000" w:themeColor="text1"/>
                <w:kern w:val="0"/>
                <w:sz w:val="24"/>
                <w:szCs w:val="20"/>
                <w14:textFill>
                  <w14:solidFill>
                    <w14:schemeClr w14:val="tx1"/>
                  </w14:solidFill>
                </w14:textFill>
              </w:rPr>
              <w:t>要求。</w:t>
            </w:r>
          </w:p>
          <w:p>
            <w:pPr>
              <w:keepLines w:val="0"/>
              <w:pageBreakBefore w:val="0"/>
              <w:kinsoku/>
              <w:wordWrap w:val="0"/>
              <w:topLinePunct w:val="0"/>
              <w:bidi w:val="0"/>
              <w:spacing w:line="360" w:lineRule="auto"/>
              <w:rPr>
                <w:rFonts w:ascii="Times New Roman" w:hAnsi="Times New Roman"/>
                <w:b/>
                <w:color w:val="000000" w:themeColor="text1"/>
                <w:spacing w:val="0"/>
                <w:position w:val="0"/>
                <w:sz w:val="24"/>
                <w:szCs w:val="20"/>
                <w14:textFill>
                  <w14:solidFill>
                    <w14:schemeClr w14:val="tx1"/>
                  </w14:solidFill>
                </w14:textFill>
              </w:rPr>
            </w:pPr>
            <w:r>
              <w:rPr>
                <w:rFonts w:ascii="Times New Roman" w:hAnsi="Times New Roman"/>
                <w:b/>
                <w:color w:val="000000" w:themeColor="text1"/>
                <w:spacing w:val="0"/>
                <w:position w:val="0"/>
                <w:sz w:val="24"/>
                <w:szCs w:val="20"/>
                <w14:textFill>
                  <w14:solidFill>
                    <w14:schemeClr w14:val="tx1"/>
                  </w14:solidFill>
                </w14:textFill>
              </w:rPr>
              <w:t>3.2</w:t>
            </w:r>
            <w:r>
              <w:rPr>
                <w:rFonts w:hint="eastAsia" w:ascii="Times New Roman" w:hAnsi="Times New Roman"/>
                <w:b/>
                <w:color w:val="000000" w:themeColor="text1"/>
                <w:spacing w:val="0"/>
                <w:position w:val="0"/>
                <w:sz w:val="24"/>
                <w:szCs w:val="20"/>
                <w:lang w:val="en-US" w:eastAsia="zh-CN"/>
                <w14:textFill>
                  <w14:solidFill>
                    <w14:schemeClr w14:val="tx1"/>
                  </w14:solidFill>
                </w14:textFill>
              </w:rPr>
              <w:t xml:space="preserve"> </w:t>
            </w:r>
            <w:r>
              <w:rPr>
                <w:rFonts w:ascii="Times New Roman" w:hAnsi="Times New Roman"/>
                <w:b/>
                <w:color w:val="000000" w:themeColor="text1"/>
                <w:spacing w:val="0"/>
                <w:position w:val="0"/>
                <w:sz w:val="24"/>
                <w:szCs w:val="20"/>
                <w14:textFill>
                  <w14:solidFill>
                    <w14:schemeClr w14:val="tx1"/>
                  </w14:solidFill>
                </w14:textFill>
              </w:rPr>
              <w:t>地表水</w:t>
            </w:r>
          </w:p>
          <w:p>
            <w:pPr>
              <w:keepLines w:val="0"/>
              <w:pageBreakBefore w:val="0"/>
              <w:kinsoku/>
              <w:wordWrap w:val="0"/>
              <w:topLinePunct w:val="0"/>
              <w:bidi w:val="0"/>
              <w:spacing w:line="360" w:lineRule="auto"/>
              <w:ind w:firstLine="480" w:firstLineChars="200"/>
              <w:rPr>
                <w:rFonts w:hint="eastAsia" w:ascii="Times New Roman" w:hAnsi="Times New Roman" w:cs="Times New Roman"/>
                <w:bCs/>
                <w:iCs/>
                <w:color w:val="000000" w:themeColor="text1"/>
                <w:spacing w:val="0"/>
                <w:kern w:val="0"/>
                <w:position w:val="0"/>
                <w:sz w:val="24"/>
                <w:szCs w:val="20"/>
                <w:lang w:val="en-US" w:eastAsia="zh-CN"/>
                <w14:textFill>
                  <w14:solidFill>
                    <w14:schemeClr w14:val="tx1"/>
                  </w14:solidFill>
                </w14:textFill>
              </w:rPr>
            </w:pPr>
            <w:r>
              <w:rPr>
                <w:rFonts w:hint="default" w:ascii="Times New Roman" w:hAnsi="Times New Roman" w:cs="Times New Roman"/>
                <w:color w:val="000000" w:themeColor="text1"/>
                <w:spacing w:val="0"/>
                <w:kern w:val="0"/>
                <w:position w:val="0"/>
                <w:sz w:val="24"/>
                <w:szCs w:val="20"/>
                <w14:textFill>
                  <w14:solidFill>
                    <w14:schemeClr w14:val="tx1"/>
                  </w14:solidFill>
                </w14:textFill>
              </w:rPr>
              <w:t>项</w:t>
            </w:r>
            <w:r>
              <w:rPr>
                <w:rFonts w:hint="default" w:ascii="Times New Roman" w:hAnsi="Times New Roman" w:cs="Times New Roman"/>
                <w:color w:val="000000" w:themeColor="text1"/>
                <w:spacing w:val="0"/>
                <w:kern w:val="0"/>
                <w:position w:val="0"/>
                <w:sz w:val="24"/>
                <w:szCs w:val="20"/>
                <w:lang w:val="en-US" w:eastAsia="zh-CN"/>
                <w14:textFill>
                  <w14:solidFill>
                    <w14:schemeClr w14:val="tx1"/>
                  </w14:solidFill>
                </w14:textFill>
              </w:rPr>
              <w:t>目所在区域纳污水体为洋湖渠水环境功能区功能区划为V类</w:t>
            </w:r>
            <w:r>
              <w:rPr>
                <w:rFonts w:hint="default" w:ascii="Times New Roman" w:hAnsi="Times New Roman" w:cs="Times New Roman"/>
                <w:bCs/>
                <w:iCs/>
                <w:color w:val="000000" w:themeColor="text1"/>
                <w:spacing w:val="0"/>
                <w:kern w:val="0"/>
                <w:position w:val="0"/>
                <w:sz w:val="24"/>
                <w:szCs w:val="20"/>
                <w14:textFill>
                  <w14:solidFill>
                    <w14:schemeClr w14:val="tx1"/>
                  </w14:solidFill>
                </w14:textFill>
              </w:rPr>
              <w:t>。</w:t>
            </w:r>
            <w:r>
              <w:rPr>
                <w:rFonts w:hint="default" w:ascii="Times New Roman" w:hAnsi="Times New Roman" w:cs="Times New Roman"/>
                <w:bCs/>
                <w:iCs/>
                <w:color w:val="000000" w:themeColor="text1"/>
                <w:spacing w:val="0"/>
                <w:kern w:val="0"/>
                <w:position w:val="0"/>
                <w:sz w:val="24"/>
                <w:szCs w:val="20"/>
                <w:lang w:val="en-US" w:eastAsia="zh-CN"/>
                <w14:textFill>
                  <w14:solidFill>
                    <w14:schemeClr w14:val="tx1"/>
                  </w14:solidFill>
                </w14:textFill>
              </w:rPr>
              <w:t>许昌市生态环境局发布的《关于印发许昌市2022年市考县级地表水环境质量目标的函》，2022年洋湖渠水质目标氨氮≤2.0mg/L，其他指标执行《地表水环境质量标准》</w:t>
            </w:r>
            <w:r>
              <w:rPr>
                <w:rFonts w:hint="eastAsia" w:ascii="Times New Roman" w:hAnsi="Times New Roman" w:cs="Times New Roman"/>
                <w:bCs/>
                <w:iCs/>
                <w:color w:val="000000" w:themeColor="text1"/>
                <w:spacing w:val="0"/>
                <w:kern w:val="0"/>
                <w:position w:val="0"/>
                <w:sz w:val="24"/>
                <w:szCs w:val="20"/>
                <w:lang w:val="en-US" w:eastAsia="zh-CN"/>
                <w14:textFill>
                  <w14:solidFill>
                    <w14:schemeClr w14:val="tx1"/>
                  </w14:solidFill>
                </w14:textFill>
              </w:rPr>
              <w:t>（GB3838-2002）</w:t>
            </w:r>
            <w:r>
              <w:rPr>
                <w:rFonts w:hint="default" w:ascii="Times New Roman" w:hAnsi="Times New Roman" w:eastAsia="宋体" w:cs="Times New Roman"/>
                <w:bCs/>
                <w:iCs/>
                <w:color w:val="000000" w:themeColor="text1"/>
                <w:spacing w:val="0"/>
                <w:kern w:val="0"/>
                <w:position w:val="0"/>
                <w:sz w:val="24"/>
                <w:szCs w:val="20"/>
                <w:lang w:val="en-US" w:eastAsia="zh-CN"/>
                <w14:textFill>
                  <w14:solidFill>
                    <w14:schemeClr w14:val="tx1"/>
                  </w14:solidFill>
                </w14:textFill>
              </w:rPr>
              <w:t>Ⅳ</w:t>
            </w:r>
            <w:r>
              <w:rPr>
                <w:rFonts w:hint="eastAsia" w:ascii="Times New Roman" w:hAnsi="Times New Roman" w:eastAsia="宋体" w:cs="Times New Roman"/>
                <w:bCs/>
                <w:iCs/>
                <w:color w:val="000000" w:themeColor="text1"/>
                <w:spacing w:val="0"/>
                <w:kern w:val="0"/>
                <w:position w:val="0"/>
                <w:sz w:val="24"/>
                <w:szCs w:val="20"/>
                <w:lang w:val="en-US" w:eastAsia="zh-CN"/>
                <w14:textFill>
                  <w14:solidFill>
                    <w14:schemeClr w14:val="tx1"/>
                  </w14:solidFill>
                </w14:textFill>
              </w:rPr>
              <w:t>类标准</w:t>
            </w:r>
            <w:r>
              <w:rPr>
                <w:rFonts w:hint="eastAsia" w:ascii="Times New Roman" w:hAnsi="Times New Roman" w:cs="Times New Roman"/>
                <w:bCs/>
                <w:iCs/>
                <w:color w:val="000000" w:themeColor="text1"/>
                <w:spacing w:val="0"/>
                <w:kern w:val="0"/>
                <w:position w:val="0"/>
                <w:sz w:val="24"/>
                <w:szCs w:val="20"/>
                <w:lang w:val="en-US" w:eastAsia="zh-CN"/>
                <w14:textFill>
                  <w14:solidFill>
                    <w14:schemeClr w14:val="tx1"/>
                  </w14:solidFill>
                </w14:textFill>
              </w:rPr>
              <w:t>。</w:t>
            </w:r>
          </w:p>
          <w:p>
            <w:pPr>
              <w:keepLines w:val="0"/>
              <w:pageBreakBefore w:val="0"/>
              <w:kinsoku/>
              <w:wordWrap w:val="0"/>
              <w:topLinePunct w:val="0"/>
              <w:bidi w:val="0"/>
              <w:spacing w:line="360" w:lineRule="auto"/>
              <w:ind w:firstLine="480" w:firstLineChars="200"/>
              <w:rPr>
                <w:rFonts w:ascii="Times New Roman" w:hAnsi="Times New Roman" w:eastAsia="黑体"/>
                <w:color w:val="000000" w:themeColor="text1"/>
                <w:spacing w:val="0"/>
                <w:kern w:val="0"/>
                <w:position w:val="0"/>
                <w:sz w:val="24"/>
                <w14:textFill>
                  <w14:solidFill>
                    <w14:schemeClr w14:val="tx1"/>
                  </w14:solidFill>
                </w14:textFill>
              </w:rPr>
            </w:pPr>
            <w:r>
              <w:rPr>
                <w:rFonts w:hint="eastAsia" w:ascii="Times New Roman" w:hAnsi="Times New Roman" w:cs="Times New Roman"/>
                <w:bCs/>
                <w:iCs/>
                <w:color w:val="000000" w:themeColor="text1"/>
                <w:spacing w:val="0"/>
                <w:kern w:val="0"/>
                <w:position w:val="0"/>
                <w:sz w:val="24"/>
                <w:szCs w:val="20"/>
                <w:lang w:val="en-US" w:eastAsia="zh-CN"/>
                <w14:textFill>
                  <w14:solidFill>
                    <w14:schemeClr w14:val="tx1"/>
                  </w14:solidFill>
                </w14:textFill>
              </w:rPr>
              <w:t>洋湖渠为北湛河在襄城县境内的支流，洋湖渠监测断面位于其入北湛河上游一公里处。本次评价引用许昌市生态环境局网站发布的2021年洋湖渠姚庄断面常规监测数据，见下表。</w:t>
            </w:r>
          </w:p>
          <w:p>
            <w:pPr>
              <w:keepLines w:val="0"/>
              <w:pageBreakBefore w:val="0"/>
              <w:kinsoku/>
              <w:wordWrap w:val="0"/>
              <w:topLinePunct w:val="0"/>
              <w:bidi w:val="0"/>
              <w:jc w:val="center"/>
              <w:rPr>
                <w:rFonts w:hint="default" w:ascii="Times New Roman" w:hAnsi="Times New Roman" w:eastAsia="宋体" w:cs="Times New Roman"/>
                <w:b/>
                <w:bCs/>
                <w:color w:val="000000" w:themeColor="text1"/>
                <w:spacing w:val="0"/>
                <w:kern w:val="0"/>
                <w:position w:val="0"/>
                <w:sz w:val="24"/>
                <w:szCs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4"/>
                <w:szCs w:val="24"/>
                <w14:textFill>
                  <w14:solidFill>
                    <w14:schemeClr w14:val="tx1"/>
                  </w14:solidFill>
                </w14:textFill>
              </w:rPr>
              <w:t>表3-</w:t>
            </w:r>
            <w:r>
              <w:rPr>
                <w:rFonts w:hint="default" w:ascii="Times New Roman" w:hAnsi="Times New Roman" w:eastAsia="宋体" w:cs="Times New Roman"/>
                <w:b/>
                <w:bCs/>
                <w:color w:val="000000" w:themeColor="text1"/>
                <w:spacing w:val="0"/>
                <w:kern w:val="0"/>
                <w:position w:val="0"/>
                <w:sz w:val="24"/>
                <w:szCs w:val="24"/>
                <w:lang w:val="en-US" w:eastAsia="zh-CN"/>
                <w14:textFill>
                  <w14:solidFill>
                    <w14:schemeClr w14:val="tx1"/>
                  </w14:solidFill>
                </w14:textFill>
              </w:rPr>
              <w:t>3</w:t>
            </w:r>
            <w:r>
              <w:rPr>
                <w:rFonts w:hint="default" w:ascii="Times New Roman" w:hAnsi="Times New Roman" w:eastAsia="宋体" w:cs="Times New Roman"/>
                <w:b/>
                <w:bCs/>
                <w:color w:val="000000" w:themeColor="text1"/>
                <w:spacing w:val="0"/>
                <w:kern w:val="0"/>
                <w:position w:val="0"/>
                <w:sz w:val="24"/>
                <w:szCs w:val="24"/>
                <w14:textFill>
                  <w14:solidFill>
                    <w14:schemeClr w14:val="tx1"/>
                  </w14:solidFill>
                </w14:textFill>
              </w:rPr>
              <w:t xml:space="preserve">  </w:t>
            </w:r>
            <w:r>
              <w:rPr>
                <w:rFonts w:hint="default" w:ascii="Times New Roman" w:hAnsi="Times New Roman" w:eastAsia="宋体" w:cs="Times New Roman"/>
                <w:b/>
                <w:bCs/>
                <w:color w:val="000000" w:themeColor="text1"/>
                <w:spacing w:val="0"/>
                <w:kern w:val="0"/>
                <w:position w:val="0"/>
                <w:sz w:val="24"/>
                <w:szCs w:val="24"/>
                <w:lang w:val="en-US" w:eastAsia="zh-CN"/>
                <w14:textFill>
                  <w14:solidFill>
                    <w14:schemeClr w14:val="tx1"/>
                  </w14:solidFill>
                </w14:textFill>
              </w:rPr>
              <w:t>洋湖渠姚庄断面常规监测结果一览表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431"/>
              <w:gridCol w:w="1035"/>
              <w:gridCol w:w="1650"/>
              <w:gridCol w:w="1480"/>
              <w:gridCol w:w="1175"/>
              <w:gridCol w:w="119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dxa"/>
                  <w:vMerge w:val="restar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河流</w:t>
                  </w:r>
                </w:p>
              </w:tc>
              <w:tc>
                <w:tcPr>
                  <w:tcW w:w="1035" w:type="dxa"/>
                  <w:vMerge w:val="restar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断面</w:t>
                  </w:r>
                </w:p>
              </w:tc>
              <w:tc>
                <w:tcPr>
                  <w:tcW w:w="1650" w:type="dxa"/>
                  <w:vMerge w:val="restar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年度</w:t>
                  </w:r>
                </w:p>
              </w:tc>
              <w:tc>
                <w:tcPr>
                  <w:tcW w:w="3853" w:type="dxa"/>
                  <w:gridSpan w:val="3"/>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监测结果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dxa"/>
                  <w:vMerge w:val="continue"/>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p>
              </w:tc>
              <w:tc>
                <w:tcPr>
                  <w:tcW w:w="1035" w:type="dxa"/>
                  <w:vMerge w:val="continue"/>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p>
              </w:tc>
              <w:tc>
                <w:tcPr>
                  <w:tcW w:w="1650" w:type="dxa"/>
                  <w:vMerge w:val="continue"/>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p>
              </w:tc>
              <w:tc>
                <w:tcPr>
                  <w:tcW w:w="1480"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COD</w:t>
                  </w:r>
                </w:p>
              </w:tc>
              <w:tc>
                <w:tcPr>
                  <w:tcW w:w="1175"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氨氮</w:t>
                  </w:r>
                </w:p>
              </w:tc>
              <w:tc>
                <w:tcPr>
                  <w:tcW w:w="1198"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总磷</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431"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洋湖渠</w:t>
                  </w:r>
                </w:p>
              </w:tc>
              <w:tc>
                <w:tcPr>
                  <w:tcW w:w="1035"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姚庄</w:t>
                  </w:r>
                </w:p>
              </w:tc>
              <w:tc>
                <w:tcPr>
                  <w:tcW w:w="1650"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2021</w:t>
                  </w:r>
                </w:p>
              </w:tc>
              <w:tc>
                <w:tcPr>
                  <w:tcW w:w="1480"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26.08</w:t>
                  </w:r>
                </w:p>
              </w:tc>
              <w:tc>
                <w:tcPr>
                  <w:tcW w:w="1175"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0.89</w:t>
                  </w:r>
                </w:p>
              </w:tc>
              <w:tc>
                <w:tcPr>
                  <w:tcW w:w="1198"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0.083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6" w:type="dxa"/>
                  <w:gridSpan w:val="2"/>
                  <w:vMerge w:val="restart"/>
                  <w:tcBorders>
                    <w:tl2br w:val="nil"/>
                    <w:tr2bl w:val="nil"/>
                  </w:tcBorders>
                  <w:noWrap w:val="0"/>
                  <w:vAlign w:val="center"/>
                </w:tcPr>
                <w:p>
                  <w:pPr>
                    <w:keepLines w:val="0"/>
                    <w:pageBreakBefore w:val="0"/>
                    <w:kinsoku/>
                    <w:wordWrap w:val="0"/>
                    <w:topLinePunct w:val="0"/>
                    <w:bidi w:val="0"/>
                    <w:jc w:val="both"/>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iCs/>
                      <w:color w:val="000000" w:themeColor="text1"/>
                      <w:spacing w:val="0"/>
                      <w:kern w:val="0"/>
                      <w:position w:val="0"/>
                      <w:sz w:val="21"/>
                      <w:szCs w:val="21"/>
                      <w:lang w:val="en-US" w:eastAsia="zh-CN"/>
                      <w14:textFill>
                        <w14:solidFill>
                          <w14:schemeClr w14:val="tx1"/>
                        </w14:solidFill>
                      </w14:textFill>
                    </w:rPr>
                    <w:t>《地表水环境质量标准》</w:t>
                  </w:r>
                  <w:r>
                    <w:rPr>
                      <w:rFonts w:hint="eastAsia" w:ascii="Times New Roman" w:hAnsi="Times New Roman" w:cs="Times New Roman"/>
                      <w:b w:val="0"/>
                      <w:bCs w:val="0"/>
                      <w:iCs/>
                      <w:color w:val="000000" w:themeColor="text1"/>
                      <w:spacing w:val="0"/>
                      <w:kern w:val="0"/>
                      <w:position w:val="0"/>
                      <w:sz w:val="21"/>
                      <w:szCs w:val="21"/>
                      <w:lang w:val="en-US" w:eastAsia="zh-CN"/>
                      <w14:textFill>
                        <w14:solidFill>
                          <w14:schemeClr w14:val="tx1"/>
                        </w14:solidFill>
                      </w14:textFill>
                    </w:rPr>
                    <w:t>（GB3838-2002）</w:t>
                  </w:r>
                </w:p>
              </w:tc>
              <w:tc>
                <w:tcPr>
                  <w:tcW w:w="1650"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b w:val="0"/>
                      <w:bCs w:val="0"/>
                      <w:iCs/>
                      <w:color w:val="000000" w:themeColor="text1"/>
                      <w:spacing w:val="0"/>
                      <w:kern w:val="0"/>
                      <w:position w:val="0"/>
                      <w:sz w:val="21"/>
                      <w:szCs w:val="21"/>
                      <w:lang w:val="en-US" w:eastAsia="zh-CN"/>
                      <w14:textFill>
                        <w14:solidFill>
                          <w14:schemeClr w14:val="tx1"/>
                        </w14:solidFill>
                      </w14:textFill>
                    </w:rPr>
                    <w:t>Ⅳ</w:t>
                  </w:r>
                  <w:r>
                    <w:rPr>
                      <w:rFonts w:hint="eastAsia" w:ascii="Times New Roman" w:hAnsi="Times New Roman" w:eastAsia="宋体" w:cs="Times New Roman"/>
                      <w:b w:val="0"/>
                      <w:bCs w:val="0"/>
                      <w:iCs/>
                      <w:color w:val="000000" w:themeColor="text1"/>
                      <w:spacing w:val="0"/>
                      <w:kern w:val="0"/>
                      <w:position w:val="0"/>
                      <w:sz w:val="21"/>
                      <w:szCs w:val="21"/>
                      <w:lang w:val="en-US" w:eastAsia="zh-CN"/>
                      <w14:textFill>
                        <w14:solidFill>
                          <w14:schemeClr w14:val="tx1"/>
                        </w14:solidFill>
                      </w14:textFill>
                    </w:rPr>
                    <w:t>类</w:t>
                  </w:r>
                </w:p>
              </w:tc>
              <w:tc>
                <w:tcPr>
                  <w:tcW w:w="1480"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30</w:t>
                  </w:r>
                </w:p>
              </w:tc>
              <w:tc>
                <w:tcPr>
                  <w:tcW w:w="1175"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1.5</w:t>
                  </w:r>
                </w:p>
              </w:tc>
              <w:tc>
                <w:tcPr>
                  <w:tcW w:w="1198"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466" w:type="dxa"/>
                  <w:gridSpan w:val="2"/>
                  <w:vMerge w:val="continue"/>
                  <w:tcBorders>
                    <w:tl2br w:val="nil"/>
                    <w:tr2bl w:val="nil"/>
                  </w:tcBorders>
                  <w:noWrap w:val="0"/>
                  <w:vAlign w:val="center"/>
                </w:tcPr>
                <w:p>
                  <w:pPr>
                    <w:keepLines w:val="0"/>
                    <w:pageBreakBefore w:val="0"/>
                    <w:kinsoku/>
                    <w:wordWrap w:val="0"/>
                    <w:topLinePunct w:val="0"/>
                    <w:bidi w:val="0"/>
                    <w:jc w:val="both"/>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p>
              </w:tc>
              <w:tc>
                <w:tcPr>
                  <w:tcW w:w="1650"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default" w:ascii="Times New Roman" w:hAnsi="Times New Roman" w:cs="Times New Roman"/>
                      <w:b w:val="0"/>
                      <w:bCs w:val="0"/>
                      <w:color w:val="000000" w:themeColor="text1"/>
                      <w:spacing w:val="0"/>
                      <w:kern w:val="0"/>
                      <w:position w:val="0"/>
                      <w:sz w:val="21"/>
                      <w:szCs w:val="21"/>
                      <w:lang w:val="en-US" w:eastAsia="zh-CN"/>
                      <w14:textFill>
                        <w14:solidFill>
                          <w14:schemeClr w14:val="tx1"/>
                        </w14:solidFill>
                      </w14:textFill>
                    </w:rPr>
                    <w:t>V类</w:t>
                  </w:r>
                </w:p>
              </w:tc>
              <w:tc>
                <w:tcPr>
                  <w:tcW w:w="1480"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40</w:t>
                  </w:r>
                </w:p>
              </w:tc>
              <w:tc>
                <w:tcPr>
                  <w:tcW w:w="1175"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2.0</w:t>
                  </w:r>
                </w:p>
              </w:tc>
              <w:tc>
                <w:tcPr>
                  <w:tcW w:w="1198" w:type="dxa"/>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pacing w:val="0"/>
                      <w:kern w:val="0"/>
                      <w:position w:val="0"/>
                      <w:sz w:val="21"/>
                      <w:szCs w:val="21"/>
                      <w:vertAlign w:val="baseline"/>
                      <w:lang w:val="en-US" w:eastAsia="zh-CN"/>
                      <w14:textFill>
                        <w14:solidFill>
                          <w14:schemeClr w14:val="tx1"/>
                        </w14:solidFill>
                      </w14:textFill>
                    </w:rPr>
                    <w:t>0.4</w:t>
                  </w:r>
                </w:p>
              </w:tc>
            </w:tr>
          </w:tbl>
          <w:p>
            <w:pPr>
              <w:keepLines w:val="0"/>
              <w:pageBreakBefore w:val="0"/>
              <w:kinsoku/>
              <w:wordWrap w:val="0"/>
              <w:topLinePunct w:val="0"/>
              <w:bidi w:val="0"/>
              <w:spacing w:line="520" w:lineRule="exact"/>
              <w:ind w:firstLine="480" w:firstLineChars="200"/>
              <w:rPr>
                <w:rFonts w:ascii="Times New Roman" w:hAnsi="Times New Roman"/>
                <w:color w:val="000000" w:themeColor="text1"/>
                <w:spacing w:val="0"/>
                <w:position w:val="0"/>
                <w:sz w:val="24"/>
                <w:szCs w:val="22"/>
                <w14:textFill>
                  <w14:solidFill>
                    <w14:schemeClr w14:val="tx1"/>
                  </w14:solidFill>
                </w14:textFill>
              </w:rPr>
            </w:pPr>
            <w:r>
              <w:rPr>
                <w:rFonts w:ascii="Times New Roman" w:hAnsi="Times New Roman"/>
                <w:color w:val="000000" w:themeColor="text1"/>
                <w:spacing w:val="0"/>
                <w:position w:val="0"/>
                <w:sz w:val="24"/>
                <w:szCs w:val="22"/>
                <w14:textFill>
                  <w14:solidFill>
                    <w14:schemeClr w14:val="tx1"/>
                  </w14:solidFill>
                </w14:textFill>
              </w:rPr>
              <w:t>由表</w:t>
            </w:r>
            <w:r>
              <w:rPr>
                <w:rFonts w:hint="eastAsia" w:ascii="Times New Roman" w:hAnsi="Times New Roman"/>
                <w:color w:val="000000" w:themeColor="text1"/>
                <w:spacing w:val="0"/>
                <w:position w:val="0"/>
                <w:sz w:val="24"/>
                <w:szCs w:val="22"/>
                <w14:textFill>
                  <w14:solidFill>
                    <w14:schemeClr w14:val="tx1"/>
                  </w14:solidFill>
                </w14:textFill>
              </w:rPr>
              <w:t>3-</w:t>
            </w:r>
            <w:r>
              <w:rPr>
                <w:rFonts w:hint="eastAsia" w:ascii="Times New Roman" w:hAnsi="Times New Roman"/>
                <w:color w:val="000000" w:themeColor="text1"/>
                <w:spacing w:val="0"/>
                <w:position w:val="0"/>
                <w:sz w:val="24"/>
                <w:szCs w:val="22"/>
                <w:lang w:val="en-US" w:eastAsia="zh-CN"/>
                <w14:textFill>
                  <w14:solidFill>
                    <w14:schemeClr w14:val="tx1"/>
                  </w14:solidFill>
                </w14:textFill>
              </w:rPr>
              <w:t>3</w:t>
            </w:r>
            <w:r>
              <w:rPr>
                <w:rFonts w:ascii="Times New Roman" w:hAnsi="Times New Roman"/>
                <w:color w:val="000000" w:themeColor="text1"/>
                <w:spacing w:val="0"/>
                <w:position w:val="0"/>
                <w:sz w:val="24"/>
                <w:szCs w:val="22"/>
                <w14:textFill>
                  <w14:solidFill>
                    <w14:schemeClr w14:val="tx1"/>
                  </w14:solidFill>
                </w14:textFill>
              </w:rPr>
              <w:t>可知，</w:t>
            </w:r>
            <w:bookmarkStart w:id="4" w:name="_Hlk27466812"/>
            <w:r>
              <w:rPr>
                <w:rFonts w:hint="eastAsia" w:ascii="Times New Roman" w:hAnsi="Times New Roman"/>
                <w:color w:val="000000" w:themeColor="text1"/>
                <w:spacing w:val="0"/>
                <w:position w:val="0"/>
                <w:sz w:val="24"/>
                <w:szCs w:val="22"/>
                <w:lang w:val="en-US" w:eastAsia="zh-CN"/>
                <w14:textFill>
                  <w14:solidFill>
                    <w14:schemeClr w14:val="tx1"/>
                  </w14:solidFill>
                </w14:textFill>
              </w:rPr>
              <w:t>洋湖渠姚庄COD、氨氮、总磷均能</w:t>
            </w:r>
            <w:r>
              <w:rPr>
                <w:rFonts w:ascii="Times New Roman" w:hAnsi="Times New Roman"/>
                <w:color w:val="000000" w:themeColor="text1"/>
                <w:spacing w:val="0"/>
                <w:position w:val="0"/>
                <w:sz w:val="24"/>
                <w:szCs w:val="22"/>
                <w14:textFill>
                  <w14:solidFill>
                    <w14:schemeClr w14:val="tx1"/>
                  </w14:solidFill>
                </w14:textFill>
              </w:rPr>
              <w:t>满足《地表水环境质量标准》（GB3838-2002）</w:t>
            </w:r>
            <w:r>
              <w:rPr>
                <w:rFonts w:hint="default" w:ascii="Times New Roman" w:hAnsi="Times New Roman" w:eastAsia="宋体" w:cs="Times New Roman"/>
                <w:bCs/>
                <w:iCs/>
                <w:color w:val="000000" w:themeColor="text1"/>
                <w:spacing w:val="0"/>
                <w:kern w:val="0"/>
                <w:position w:val="0"/>
                <w:sz w:val="24"/>
                <w:szCs w:val="20"/>
                <w:lang w:val="en-US" w:eastAsia="zh-CN"/>
                <w14:textFill>
                  <w14:solidFill>
                    <w14:schemeClr w14:val="tx1"/>
                  </w14:solidFill>
                </w14:textFill>
              </w:rPr>
              <w:t>Ⅳ</w:t>
            </w:r>
            <w:r>
              <w:rPr>
                <w:rFonts w:ascii="Times New Roman" w:hAnsi="Times New Roman"/>
                <w:color w:val="000000" w:themeColor="text1"/>
                <w:spacing w:val="0"/>
                <w:position w:val="0"/>
                <w:sz w:val="24"/>
                <w:szCs w:val="22"/>
                <w14:textFill>
                  <w14:solidFill>
                    <w14:schemeClr w14:val="tx1"/>
                  </w14:solidFill>
                </w14:textFill>
              </w:rPr>
              <w:t>类</w:t>
            </w:r>
            <w:r>
              <w:rPr>
                <w:rFonts w:hint="eastAsia" w:ascii="Times New Roman" w:hAnsi="Times New Roman"/>
                <w:color w:val="000000" w:themeColor="text1"/>
                <w:spacing w:val="0"/>
                <w:position w:val="0"/>
                <w:sz w:val="24"/>
                <w:szCs w:val="22"/>
                <w:lang w:val="en-US" w:eastAsia="zh-CN"/>
                <w14:textFill>
                  <w14:solidFill>
                    <w14:schemeClr w14:val="tx1"/>
                  </w14:solidFill>
                </w14:textFill>
              </w:rPr>
              <w:t>水质</w:t>
            </w:r>
            <w:r>
              <w:rPr>
                <w:rFonts w:ascii="Times New Roman" w:hAnsi="Times New Roman"/>
                <w:color w:val="000000" w:themeColor="text1"/>
                <w:spacing w:val="0"/>
                <w:position w:val="0"/>
                <w:sz w:val="24"/>
                <w:szCs w:val="22"/>
                <w14:textFill>
                  <w14:solidFill>
                    <w14:schemeClr w14:val="tx1"/>
                  </w14:solidFill>
                </w14:textFill>
              </w:rPr>
              <w:t>标准要求</w:t>
            </w:r>
            <w:r>
              <w:rPr>
                <w:rFonts w:hint="eastAsia" w:ascii="Times New Roman" w:hAnsi="Times New Roman"/>
                <w:color w:val="000000" w:themeColor="text1"/>
                <w:spacing w:val="0"/>
                <w:position w:val="0"/>
                <w:sz w:val="24"/>
                <w:szCs w:val="22"/>
                <w14:textFill>
                  <w14:solidFill>
                    <w14:schemeClr w14:val="tx1"/>
                  </w14:solidFill>
                </w14:textFill>
              </w:rPr>
              <w:t>。</w:t>
            </w:r>
            <w:bookmarkEnd w:id="4"/>
          </w:p>
          <w:p>
            <w:pPr>
              <w:keepLines w:val="0"/>
              <w:pageBreakBefore w:val="0"/>
              <w:kinsoku/>
              <w:wordWrap w:val="0"/>
              <w:topLinePunct w:val="0"/>
              <w:bidi w:val="0"/>
              <w:spacing w:line="520" w:lineRule="exact"/>
              <w:rPr>
                <w:rFonts w:ascii="Times New Roman" w:hAnsi="Times New Roman"/>
                <w:b/>
                <w:color w:val="000000" w:themeColor="text1"/>
                <w:spacing w:val="0"/>
                <w:position w:val="0"/>
                <w:sz w:val="24"/>
                <w:szCs w:val="20"/>
                <w14:textFill>
                  <w14:solidFill>
                    <w14:schemeClr w14:val="tx1"/>
                  </w14:solidFill>
                </w14:textFill>
              </w:rPr>
            </w:pPr>
            <w:r>
              <w:rPr>
                <w:rFonts w:ascii="Times New Roman" w:hAnsi="Times New Roman"/>
                <w:b/>
                <w:color w:val="000000" w:themeColor="text1"/>
                <w:spacing w:val="0"/>
                <w:position w:val="0"/>
                <w:sz w:val="24"/>
                <w:szCs w:val="20"/>
                <w14:textFill>
                  <w14:solidFill>
                    <w14:schemeClr w14:val="tx1"/>
                  </w14:solidFill>
                </w14:textFill>
              </w:rPr>
              <w:t>3.3</w:t>
            </w:r>
            <w:r>
              <w:rPr>
                <w:rFonts w:hint="eastAsia" w:ascii="Times New Roman" w:hAnsi="Times New Roman"/>
                <w:b/>
                <w:color w:val="000000" w:themeColor="text1"/>
                <w:spacing w:val="0"/>
                <w:position w:val="0"/>
                <w:sz w:val="24"/>
                <w:szCs w:val="20"/>
                <w:lang w:val="en-US" w:eastAsia="zh-CN"/>
                <w14:textFill>
                  <w14:solidFill>
                    <w14:schemeClr w14:val="tx1"/>
                  </w14:solidFill>
                </w14:textFill>
              </w:rPr>
              <w:t xml:space="preserve"> </w:t>
            </w:r>
            <w:r>
              <w:rPr>
                <w:rFonts w:hint="eastAsia" w:ascii="Times New Roman" w:hAnsi="Times New Roman"/>
                <w:b/>
                <w:color w:val="000000" w:themeColor="text1"/>
                <w:spacing w:val="0"/>
                <w:position w:val="0"/>
                <w:sz w:val="24"/>
                <w:szCs w:val="20"/>
                <w14:textFill>
                  <w14:solidFill>
                    <w14:schemeClr w14:val="tx1"/>
                  </w14:solidFill>
                </w14:textFill>
              </w:rPr>
              <w:t>地下水</w:t>
            </w:r>
            <w:r>
              <w:rPr>
                <w:rFonts w:ascii="Times New Roman" w:hAnsi="Times New Roman"/>
                <w:b/>
                <w:color w:val="000000" w:themeColor="text1"/>
                <w:spacing w:val="0"/>
                <w:position w:val="0"/>
                <w:sz w:val="24"/>
                <w:szCs w:val="20"/>
                <w14:textFill>
                  <w14:solidFill>
                    <w14:schemeClr w14:val="tx1"/>
                  </w14:solidFill>
                </w14:textFill>
              </w:rPr>
              <w:t>环境</w:t>
            </w:r>
          </w:p>
          <w:p>
            <w:pPr>
              <w:keepLines w:val="0"/>
              <w:pageBreakBefore w:val="0"/>
              <w:kinsoku/>
              <w:wordWrap w:val="0"/>
              <w:topLinePunct w:val="0"/>
              <w:bidi w:val="0"/>
              <w:adjustRightInd w:val="0"/>
              <w:snapToGrid w:val="0"/>
              <w:spacing w:line="500" w:lineRule="exact"/>
              <w:ind w:firstLine="480" w:firstLineChars="200"/>
              <w:rPr>
                <w:rFonts w:ascii="Times New Roman" w:hAnsi="Times New Roman"/>
                <w:bCs/>
                <w:color w:val="000000" w:themeColor="text1"/>
                <w:spacing w:val="0"/>
                <w:position w:val="0"/>
                <w:sz w:val="24"/>
                <w14:textFill>
                  <w14:solidFill>
                    <w14:schemeClr w14:val="tx1"/>
                  </w14:solidFill>
                </w14:textFill>
              </w:rPr>
            </w:pPr>
            <w:r>
              <w:rPr>
                <w:rFonts w:ascii="Times New Roman" w:hAnsi="Times New Roman" w:eastAsia="宋体" w:cs="宋体"/>
                <w:color w:val="000000" w:themeColor="text1"/>
                <w:spacing w:val="0"/>
                <w:position w:val="0"/>
                <w:sz w:val="24"/>
                <w:szCs w:val="24"/>
                <w14:textFill>
                  <w14:solidFill>
                    <w14:schemeClr w14:val="tx1"/>
                  </w14:solidFill>
                </w14:textFill>
              </w:rPr>
              <w:t>项目地下水环境质量现状</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引用</w:t>
            </w:r>
            <w:r>
              <w:rPr>
                <w:rFonts w:hint="eastAsia" w:ascii="Times New Roman" w:hAnsi="Times New Roman"/>
                <w:color w:val="000000" w:themeColor="text1"/>
                <w:spacing w:val="0"/>
                <w:kern w:val="0"/>
                <w:position w:val="0"/>
                <w:sz w:val="24"/>
                <w:szCs w:val="20"/>
                <w:lang w:val="en-US" w:eastAsia="zh-CN"/>
                <w14:textFill>
                  <w14:solidFill>
                    <w14:schemeClr w14:val="tx1"/>
                  </w14:solidFill>
                </w14:textFill>
              </w:rPr>
              <w:t>《襄城县永卓粘合剂有限公司年产8000吨聚氨酯胶黏剂、4000吨氯丁橡胶黏剂项目环境影响报告书》中，2021年06月24日-2021年06月25日，河南森邦环境检测技术有限公司对</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姜店村水井</w:t>
            </w:r>
            <w:r>
              <w:rPr>
                <w:rFonts w:ascii="Times New Roman" w:hAnsi="Times New Roman" w:eastAsia="宋体" w:cs="宋体"/>
                <w:color w:val="000000" w:themeColor="text1"/>
                <w:spacing w:val="0"/>
                <w:position w:val="0"/>
                <w:sz w:val="24"/>
                <w:szCs w:val="24"/>
                <w14:textFill>
                  <w14:solidFill>
                    <w14:schemeClr w14:val="tx1"/>
                  </w14:solidFill>
                </w14:textFill>
              </w:rPr>
              <w:t>（本项目</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南</w:t>
            </w:r>
            <w:r>
              <w:rPr>
                <w:rFonts w:ascii="Times New Roman" w:hAnsi="Times New Roman" w:eastAsia="宋体" w:cs="宋体"/>
                <w:color w:val="000000" w:themeColor="text1"/>
                <w:spacing w:val="0"/>
                <w:position w:val="0"/>
                <w:sz w:val="24"/>
                <w:szCs w:val="24"/>
                <w14:textFill>
                  <w14:solidFill>
                    <w14:schemeClr w14:val="tx1"/>
                  </w14:solidFill>
                </w14:textFill>
              </w:rPr>
              <w:t>侧</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11</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80</w:t>
            </w:r>
            <w:r>
              <w:rPr>
                <w:rFonts w:ascii="Times New Roman" w:hAnsi="Times New Roman" w:eastAsia="Times New Roman" w:cs="Times New Roman"/>
                <w:color w:val="000000" w:themeColor="text1"/>
                <w:spacing w:val="0"/>
                <w:position w:val="0"/>
                <w:sz w:val="24"/>
                <w:szCs w:val="24"/>
                <w14:textFill>
                  <w14:solidFill>
                    <w14:schemeClr w14:val="tx1"/>
                  </w14:solidFill>
                </w14:textFill>
              </w:rPr>
              <w:t>m</w:t>
            </w:r>
            <w:r>
              <w:rPr>
                <w:rFonts w:ascii="Times New Roman" w:hAnsi="Times New Roman" w:eastAsia="宋体" w:cs="宋体"/>
                <w:color w:val="000000" w:themeColor="text1"/>
                <w:spacing w:val="0"/>
                <w:position w:val="0"/>
                <w:sz w:val="24"/>
                <w:szCs w:val="24"/>
                <w14:textFill>
                  <w14:solidFill>
                    <w14:schemeClr w14:val="tx1"/>
                  </w14:solidFill>
                </w14:textFill>
              </w:rPr>
              <w:t>）</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和襄城县永卓粘合剂有限公司厂内水</w:t>
            </w:r>
            <w:r>
              <w:rPr>
                <w:rFonts w:ascii="Times New Roman" w:hAnsi="Times New Roman" w:eastAsia="宋体" w:cs="宋体"/>
                <w:color w:val="000000" w:themeColor="text1"/>
                <w:spacing w:val="0"/>
                <w:position w:val="0"/>
                <w:sz w:val="24"/>
                <w:szCs w:val="24"/>
                <w14:textFill>
                  <w14:solidFill>
                    <w14:schemeClr w14:val="tx1"/>
                  </w14:solidFill>
                </w14:textFill>
              </w:rPr>
              <w:t>井（本项目西</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北</w:t>
            </w:r>
            <w:r>
              <w:rPr>
                <w:rFonts w:ascii="Times New Roman" w:hAnsi="Times New Roman" w:eastAsia="宋体" w:cs="宋体"/>
                <w:color w:val="000000" w:themeColor="text1"/>
                <w:spacing w:val="0"/>
                <w:position w:val="0"/>
                <w:sz w:val="24"/>
                <w:szCs w:val="24"/>
                <w14:textFill>
                  <w14:solidFill>
                    <w14:schemeClr w14:val="tx1"/>
                  </w14:solidFill>
                </w14:textFill>
              </w:rPr>
              <w:t>侧</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230</w:t>
            </w:r>
            <w:r>
              <w:rPr>
                <w:rFonts w:ascii="Times New Roman" w:hAnsi="Times New Roman" w:eastAsia="Times New Roman" w:cs="Times New Roman"/>
                <w:color w:val="000000" w:themeColor="text1"/>
                <w:spacing w:val="0"/>
                <w:position w:val="0"/>
                <w:sz w:val="24"/>
                <w:szCs w:val="24"/>
                <w14:textFill>
                  <w14:solidFill>
                    <w14:schemeClr w14:val="tx1"/>
                  </w14:solidFill>
                </w14:textFill>
              </w:rPr>
              <w:t>m</w:t>
            </w:r>
            <w:r>
              <w:rPr>
                <w:rFonts w:ascii="Times New Roman" w:hAnsi="Times New Roman" w:eastAsia="宋体" w:cs="宋体"/>
                <w:color w:val="000000" w:themeColor="text1"/>
                <w:spacing w:val="0"/>
                <w:position w:val="0"/>
                <w:sz w:val="24"/>
                <w:szCs w:val="24"/>
                <w14:textFill>
                  <w14:solidFill>
                    <w14:schemeClr w14:val="tx1"/>
                  </w14:solidFill>
                </w14:textFill>
              </w:rPr>
              <w:t>）</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的</w:t>
            </w:r>
            <w:r>
              <w:rPr>
                <w:rFonts w:ascii="Times New Roman" w:hAnsi="Times New Roman" w:eastAsia="宋体" w:cs="宋体"/>
                <w:color w:val="000000" w:themeColor="text1"/>
                <w:spacing w:val="0"/>
                <w:position w:val="0"/>
                <w:sz w:val="24"/>
                <w:szCs w:val="24"/>
                <w14:textFill>
                  <w14:solidFill>
                    <w14:schemeClr w14:val="tx1"/>
                  </w14:solidFill>
                </w14:textFill>
              </w:rPr>
              <w:t>监测数据进行</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说明</w:t>
            </w:r>
            <w:r>
              <w:rPr>
                <w:rFonts w:ascii="Times New Roman" w:hAnsi="Times New Roman" w:eastAsia="宋体" w:cs="宋体"/>
                <w:color w:val="000000" w:themeColor="text1"/>
                <w:spacing w:val="0"/>
                <w:position w:val="0"/>
                <w:sz w:val="24"/>
                <w:szCs w:val="24"/>
                <w14:textFill>
                  <w14:solidFill>
                    <w14:schemeClr w14:val="tx1"/>
                  </w14:solidFill>
                </w14:textFill>
              </w:rPr>
              <w:t>。监测结果情况见</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下表</w:t>
            </w:r>
            <w:r>
              <w:rPr>
                <w:rFonts w:ascii="Times New Roman" w:hAnsi="Times New Roman"/>
                <w:bCs/>
                <w:color w:val="000000" w:themeColor="text1"/>
                <w:spacing w:val="0"/>
                <w:position w:val="0"/>
                <w:sz w:val="24"/>
                <w14:textFill>
                  <w14:solidFill>
                    <w14:schemeClr w14:val="tx1"/>
                  </w14:solidFill>
                </w14:textFill>
              </w:rPr>
              <w:t>。</w:t>
            </w:r>
          </w:p>
          <w:p>
            <w:pPr>
              <w:keepLines w:val="0"/>
              <w:pageBreakBefore w:val="0"/>
              <w:kinsoku/>
              <w:wordWrap w:val="0"/>
              <w:topLinePunct w:val="0"/>
              <w:bidi w:val="0"/>
              <w:jc w:val="center"/>
              <w:rPr>
                <w:rFonts w:ascii="Times New Roman" w:hAnsi="Times New Roman"/>
                <w:bCs/>
                <w:color w:val="000000" w:themeColor="text1"/>
                <w:spacing w:val="0"/>
                <w:position w:val="0"/>
                <w:sz w:val="24"/>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4"/>
                <w:szCs w:val="24"/>
                <w14:textFill>
                  <w14:solidFill>
                    <w14:schemeClr w14:val="tx1"/>
                  </w14:solidFill>
                </w14:textFill>
              </w:rPr>
              <w:t>表3-</w:t>
            </w:r>
            <w:r>
              <w:rPr>
                <w:rFonts w:hint="eastAsia" w:ascii="Times New Roman" w:hAnsi="Times New Roman" w:eastAsia="宋体" w:cs="Times New Roman"/>
                <w:b/>
                <w:bCs/>
                <w:color w:val="000000" w:themeColor="text1"/>
                <w:spacing w:val="0"/>
                <w:kern w:val="0"/>
                <w:position w:val="0"/>
                <w:sz w:val="24"/>
                <w:szCs w:val="24"/>
                <w:lang w:val="en-US" w:eastAsia="zh-CN"/>
                <w14:textFill>
                  <w14:solidFill>
                    <w14:schemeClr w14:val="tx1"/>
                  </w14:solidFill>
                </w14:textFill>
              </w:rPr>
              <w:t>4</w:t>
            </w:r>
            <w:r>
              <w:rPr>
                <w:rFonts w:hint="default" w:ascii="Times New Roman" w:hAnsi="Times New Roman" w:eastAsia="宋体" w:cs="Times New Roman"/>
                <w:b/>
                <w:bCs/>
                <w:color w:val="000000" w:themeColor="text1"/>
                <w:spacing w:val="0"/>
                <w:kern w:val="0"/>
                <w:position w:val="0"/>
                <w:sz w:val="24"/>
                <w:szCs w:val="24"/>
                <w14:textFill>
                  <w14:solidFill>
                    <w14:schemeClr w14:val="tx1"/>
                  </w14:solidFill>
                </w14:textFill>
              </w:rPr>
              <w:t xml:space="preserve">  </w:t>
            </w:r>
            <w:r>
              <w:rPr>
                <w:rFonts w:hint="eastAsia" w:ascii="Times New Roman" w:hAnsi="Times New Roman" w:eastAsia="宋体" w:cs="Times New Roman"/>
                <w:b/>
                <w:bCs/>
                <w:color w:val="000000" w:themeColor="text1"/>
                <w:spacing w:val="0"/>
                <w:kern w:val="0"/>
                <w:position w:val="0"/>
                <w:sz w:val="24"/>
                <w:szCs w:val="24"/>
                <w:lang w:val="en-US" w:eastAsia="zh-CN"/>
                <w14:textFill>
                  <w14:solidFill>
                    <w14:schemeClr w14:val="tx1"/>
                  </w14:solidFill>
                </w14:textFill>
              </w:rPr>
              <w:t>地下水</w:t>
            </w:r>
            <w:r>
              <w:rPr>
                <w:rFonts w:hint="default" w:ascii="Times New Roman" w:hAnsi="Times New Roman" w:eastAsia="宋体" w:cs="Times New Roman"/>
                <w:b/>
                <w:bCs/>
                <w:color w:val="000000" w:themeColor="text1"/>
                <w:spacing w:val="0"/>
                <w:kern w:val="0"/>
                <w:position w:val="0"/>
                <w:sz w:val="24"/>
                <w:szCs w:val="24"/>
                <w:lang w:val="en-US" w:eastAsia="zh-CN"/>
                <w14:textFill>
                  <w14:solidFill>
                    <w14:schemeClr w14:val="tx1"/>
                  </w14:solidFill>
                </w14:textFill>
              </w:rPr>
              <w:t>监测结果一览表</w:t>
            </w:r>
            <w:r>
              <w:rPr>
                <w:rFonts w:hint="eastAsia" w:ascii="Times New Roman" w:hAnsi="Times New Roman" w:eastAsia="宋体" w:cs="Times New Roman"/>
                <w:b/>
                <w:bCs/>
                <w:color w:val="000000" w:themeColor="text1"/>
                <w:spacing w:val="0"/>
                <w:kern w:val="0"/>
                <w:position w:val="0"/>
                <w:sz w:val="24"/>
                <w:szCs w:val="24"/>
                <w:lang w:val="en-US" w:eastAsia="zh-CN"/>
                <w14:textFill>
                  <w14:solidFill>
                    <w14:schemeClr w14:val="tx1"/>
                  </w14:solidFill>
                </w14:textFill>
              </w:rPr>
              <w:t>（单位：mg/L）</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992"/>
              <w:gridCol w:w="1993"/>
              <w:gridCol w:w="1993"/>
              <w:gridCol w:w="1993"/>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监测因子</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襄城县永卓粘合剂有限公司厂内水井</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姜店村水井</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标准值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pH值</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t>7.12~7.14</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t>7.38~7.44</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6.5~8.5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氨氮</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t>0.055~0.073</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pPr>
                  <w:r>
                    <w:rPr>
                      <w:rFonts w:hint="eastAsia" w:ascii="Times New Roman" w:hAnsi="Times New Roman" w:eastAsia="宋体" w:cs="Times New Roman"/>
                      <w:bCs/>
                      <w:color w:val="000000" w:themeColor="text1"/>
                      <w:spacing w:val="0"/>
                      <w:kern w:val="2"/>
                      <w:position w:val="0"/>
                      <w:sz w:val="21"/>
                      <w:szCs w:val="21"/>
                      <w:vertAlign w:val="baseline"/>
                      <w:lang w:val="en-US" w:eastAsia="zh-CN" w:bidi="ar-SA"/>
                      <w14:textFill>
                        <w14:solidFill>
                          <w14:schemeClr w14:val="tx1"/>
                        </w14:solidFill>
                      </w14:textFill>
                    </w:rPr>
                    <w:t>0.326~0.416</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硝酸盐(以N计)</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1.15~1.17</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1.03~1.06</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亚硝酸盐(以N计)</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总硬度(CaCO3计)</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257~258</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255~265</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450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挥发酚</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0.002</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氟化物</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0.62~0.64</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0.53~0.55</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氰化物</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铁</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锰</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汞</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砷</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0.0007~0.0008</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0.0006~0.0007</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六价铬</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铅</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0.001</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镉</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溶解性总固体</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413~432</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409~411</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1000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耗氧量</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1.39~1.41</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1.31~1.33</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硫酸盐</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32~36</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158~165</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氯化物</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50~51</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122~124</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250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总大肠菌群（MPN/100mL）</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&lt;2</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&lt;2</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3.0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菌落总数（CFU/mL）</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45~48</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56~59</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100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钾</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1.08</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0.28~0.3</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钠</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11.4~12.1</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40.4~41.9</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钙</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78.6~79.8</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178~180</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镁</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14.1~14.2</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26~26.5</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CO</w:t>
                  </w:r>
                  <w:r>
                    <w:rPr>
                      <w:rFonts w:hint="eastAsia" w:ascii="Times New Roman" w:hAnsi="Times New Roman" w:eastAsia="宋体" w:cs="Times New Roman"/>
                      <w:bCs/>
                      <w:color w:val="000000" w:themeColor="text1"/>
                      <w:spacing w:val="0"/>
                      <w:position w:val="0"/>
                      <w:sz w:val="21"/>
                      <w:szCs w:val="21"/>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pacing w:val="0"/>
                      <w:position w:val="0"/>
                      <w:sz w:val="21"/>
                      <w:szCs w:val="21"/>
                      <w:vertAlign w:val="superscript"/>
                      <w:lang w:val="en-US" w:eastAsia="zh-CN"/>
                      <w14:textFill>
                        <w14:solidFill>
                          <w14:schemeClr w14:val="tx1"/>
                        </w14:solidFill>
                      </w14:textFill>
                    </w:rPr>
                    <w:t>2-</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0</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HCO</w:t>
                  </w:r>
                  <w:r>
                    <w:rPr>
                      <w:rFonts w:hint="eastAsia" w:ascii="Times New Roman" w:hAnsi="Times New Roman" w:eastAsia="宋体" w:cs="Times New Roman"/>
                      <w:bCs/>
                      <w:color w:val="000000" w:themeColor="text1"/>
                      <w:spacing w:val="0"/>
                      <w:position w:val="0"/>
                      <w:sz w:val="21"/>
                      <w:szCs w:val="21"/>
                      <w:vertAlign w:val="subscript"/>
                      <w:lang w:val="en-US" w:eastAsia="zh-CN"/>
                      <w14:textFill>
                        <w14:solidFill>
                          <w14:schemeClr w14:val="tx1"/>
                        </w14:solidFill>
                      </w14:textFill>
                    </w:rPr>
                    <w:t>3</w:t>
                  </w:r>
                  <w:r>
                    <w:rPr>
                      <w:rFonts w:hint="eastAsia" w:ascii="Times New Roman" w:hAnsi="Times New Roman" w:eastAsia="宋体" w:cs="Times New Roman"/>
                      <w:bCs/>
                      <w:color w:val="000000" w:themeColor="text1"/>
                      <w:spacing w:val="0"/>
                      <w:position w:val="0"/>
                      <w:sz w:val="21"/>
                      <w:szCs w:val="21"/>
                      <w:vertAlign w:val="superscript"/>
                      <w:lang w:val="en-US" w:eastAsia="zh-CN"/>
                      <w14:textFill>
                        <w14:solidFill>
                          <w14:schemeClr w14:val="tx1"/>
                        </w14:solidFill>
                      </w14:textFill>
                    </w:rPr>
                    <w:t>-</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3.51~3.61</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5.05~5.15</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Cl</w:t>
                  </w:r>
                  <w:r>
                    <w:rPr>
                      <w:rFonts w:hint="eastAsia" w:ascii="Times New Roman" w:hAnsi="Times New Roman" w:eastAsia="宋体" w:cs="Times New Roman"/>
                      <w:bCs/>
                      <w:color w:val="000000" w:themeColor="text1"/>
                      <w:spacing w:val="0"/>
                      <w:position w:val="0"/>
                      <w:sz w:val="21"/>
                      <w:szCs w:val="21"/>
                      <w:vertAlign w:val="superscript"/>
                      <w:lang w:val="en-US" w:eastAsia="zh-CN"/>
                      <w14:textFill>
                        <w14:solidFill>
                          <w14:schemeClr w14:val="tx1"/>
                        </w14:solidFill>
                      </w14:textFill>
                    </w:rPr>
                    <w:t>-</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51.8~53.6</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120~127</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SO</w:t>
                  </w:r>
                  <w:r>
                    <w:rPr>
                      <w:rFonts w:hint="eastAsia" w:ascii="Times New Roman" w:hAnsi="Times New Roman" w:eastAsia="宋体" w:cs="Times New Roman"/>
                      <w:bCs/>
                      <w:color w:val="000000" w:themeColor="text1"/>
                      <w:spacing w:val="0"/>
                      <w:position w:val="0"/>
                      <w:sz w:val="21"/>
                      <w:szCs w:val="21"/>
                      <w:vertAlign w:val="subscript"/>
                      <w:lang w:val="en-US" w:eastAsia="zh-CN"/>
                      <w14:textFill>
                        <w14:solidFill>
                          <w14:schemeClr w14:val="tx1"/>
                        </w14:solidFill>
                      </w14:textFill>
                    </w:rPr>
                    <w:t>4</w:t>
                  </w:r>
                  <w:r>
                    <w:rPr>
                      <w:rFonts w:hint="eastAsia" w:ascii="Times New Roman" w:hAnsi="Times New Roman" w:eastAsia="宋体" w:cs="Times New Roman"/>
                      <w:bCs/>
                      <w:color w:val="000000" w:themeColor="text1"/>
                      <w:spacing w:val="0"/>
                      <w:position w:val="0"/>
                      <w:sz w:val="21"/>
                      <w:szCs w:val="21"/>
                      <w:vertAlign w:val="superscript"/>
                      <w:lang w:val="en-US" w:eastAsia="zh-CN"/>
                      <w14:textFill>
                        <w14:solidFill>
                          <w14:schemeClr w14:val="tx1"/>
                        </w14:solidFill>
                      </w14:textFill>
                    </w:rPr>
                    <w:t>2-</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23.9~34.8</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152~160</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124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多环芳烃</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bCs/>
                      <w:color w:val="000000" w:themeColor="text1"/>
                      <w:spacing w:val="0"/>
                      <w:position w:val="0"/>
                      <w:sz w:val="21"/>
                      <w:szCs w:val="21"/>
                      <w:vertAlign w:val="baseline"/>
                      <w14:textFill>
                        <w14:solidFill>
                          <w14:schemeClr w14:val="tx1"/>
                        </w14:solidFill>
                      </w14:textFill>
                    </w:rPr>
                  </w:pPr>
                  <w:r>
                    <w:rPr>
                      <w:rFonts w:hint="eastAsia" w:ascii="Times New Roman" w:hAnsi="Times New Roman" w:eastAsia="宋体" w:cs="Times New Roman"/>
                      <w:bCs/>
                      <w:color w:val="000000" w:themeColor="text1"/>
                      <w:spacing w:val="0"/>
                      <w:position w:val="0"/>
                      <w:sz w:val="21"/>
                      <w:szCs w:val="21"/>
                      <w:vertAlign w:val="baseline"/>
                      <w:lang w:val="en-US" w:eastAsia="zh-CN"/>
                      <w14:textFill>
                        <w14:solidFill>
                          <w14:schemeClr w14:val="tx1"/>
                        </w14:solidFill>
                      </w14:textFill>
                    </w:rPr>
                    <w:t>未检出</w:t>
                  </w:r>
                </w:p>
              </w:tc>
              <w:tc>
                <w:tcPr>
                  <w:tcW w:w="125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0.002</w:t>
                  </w:r>
                </w:p>
              </w:tc>
            </w:tr>
          </w:tbl>
          <w:p>
            <w:pPr>
              <w:keepNext w:val="0"/>
              <w:keepLines w:val="0"/>
              <w:pageBreakBefore w:val="0"/>
              <w:widowControl w:val="0"/>
              <w:kinsoku/>
              <w:wordWrap w:val="0"/>
              <w:overflowPunct/>
              <w:topLinePunct w:val="0"/>
              <w:autoSpaceDE/>
              <w:autoSpaceDN/>
              <w:bidi w:val="0"/>
              <w:adjustRightInd/>
              <w:snapToGrid/>
              <w:spacing w:line="500" w:lineRule="exact"/>
              <w:ind w:left="0" w:firstLine="480" w:firstLineChars="200"/>
              <w:textAlignment w:val="auto"/>
              <w:rPr>
                <w:rFonts w:hint="eastAsia" w:ascii="Times New Roman" w:hAnsi="Times New Roman" w:eastAsia="宋体"/>
                <w:bCs/>
                <w:color w:val="000000" w:themeColor="text1"/>
                <w:spacing w:val="0"/>
                <w:position w:val="0"/>
                <w:sz w:val="24"/>
                <w:lang w:val="en-US" w:eastAsia="zh-CN"/>
                <w14:textFill>
                  <w14:solidFill>
                    <w14:schemeClr w14:val="tx1"/>
                  </w14:solidFill>
                </w14:textFill>
              </w:rPr>
            </w:pP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区域</w:t>
            </w:r>
            <w:r>
              <w:rPr>
                <w:rFonts w:ascii="Times New Roman" w:hAnsi="Times New Roman" w:eastAsia="宋体" w:cs="宋体"/>
                <w:color w:val="000000" w:themeColor="text1"/>
                <w:spacing w:val="0"/>
                <w:position w:val="0"/>
                <w:sz w:val="24"/>
                <w:szCs w:val="24"/>
                <w14:textFill>
                  <w14:solidFill>
                    <w14:schemeClr w14:val="tx1"/>
                  </w14:solidFill>
                </w14:textFill>
              </w:rPr>
              <w:t>地下水监测的主要指标均满足《地下水质量标准》</w:t>
            </w:r>
            <w:r>
              <w:rPr>
                <w:rFonts w:ascii="Times New Roman" w:hAnsi="Times New Roman" w:eastAsia="Times New Roman" w:cs="Times New Roman"/>
                <w:color w:val="000000" w:themeColor="text1"/>
                <w:spacing w:val="0"/>
                <w:position w:val="0"/>
                <w:sz w:val="24"/>
                <w:szCs w:val="24"/>
                <w14:textFill>
                  <w14:solidFill>
                    <w14:schemeClr w14:val="tx1"/>
                  </w14:solidFill>
                </w14:textFill>
              </w:rPr>
              <w:t>(GB/T14848-2017)III</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类</w:t>
            </w:r>
            <w:r>
              <w:rPr>
                <w:rFonts w:ascii="Times New Roman" w:hAnsi="Times New Roman" w:eastAsia="宋体" w:cs="宋体"/>
                <w:color w:val="000000" w:themeColor="text1"/>
                <w:spacing w:val="0"/>
                <w:position w:val="0"/>
                <w:sz w:val="24"/>
                <w:szCs w:val="24"/>
                <w14:textFill>
                  <w14:solidFill>
                    <w14:schemeClr w14:val="tx1"/>
                  </w14:solidFill>
                </w14:textFill>
              </w:rPr>
              <w:t>标准</w:t>
            </w:r>
            <w:r>
              <w:rPr>
                <w:rFonts w:hint="eastAsia" w:ascii="Times New Roman" w:hAnsi="Times New Roman" w:eastAsia="宋体" w:cs="宋体"/>
                <w:color w:val="000000" w:themeColor="text1"/>
                <w:spacing w:val="0"/>
                <w:position w:val="0"/>
                <w:sz w:val="24"/>
                <w:szCs w:val="24"/>
                <w:lang w:eastAsia="zh-CN"/>
                <w14:textFill>
                  <w14:solidFill>
                    <w14:schemeClr w14:val="tx1"/>
                  </w14:solidFill>
                </w14:textFill>
              </w:rPr>
              <w:t>。</w:t>
            </w:r>
          </w:p>
          <w:p>
            <w:pPr>
              <w:keepLines w:val="0"/>
              <w:pageBreakBefore w:val="0"/>
              <w:kinsoku/>
              <w:wordWrap w:val="0"/>
              <w:topLinePunct w:val="0"/>
              <w:bidi w:val="0"/>
              <w:spacing w:line="520" w:lineRule="exact"/>
              <w:rPr>
                <w:rFonts w:ascii="Times New Roman" w:hAnsi="Times New Roman"/>
                <w:b/>
                <w:color w:val="000000" w:themeColor="text1"/>
                <w:spacing w:val="0"/>
                <w:position w:val="0"/>
                <w:sz w:val="24"/>
                <w:szCs w:val="20"/>
                <w14:textFill>
                  <w14:solidFill>
                    <w14:schemeClr w14:val="tx1"/>
                  </w14:solidFill>
                </w14:textFill>
              </w:rPr>
            </w:pPr>
            <w:r>
              <w:rPr>
                <w:rFonts w:ascii="Times New Roman" w:hAnsi="Times New Roman"/>
                <w:b/>
                <w:color w:val="000000" w:themeColor="text1"/>
                <w:spacing w:val="0"/>
                <w:position w:val="0"/>
                <w:sz w:val="24"/>
                <w:szCs w:val="20"/>
                <w14:textFill>
                  <w14:solidFill>
                    <w14:schemeClr w14:val="tx1"/>
                  </w14:solidFill>
                </w14:textFill>
              </w:rPr>
              <w:t>3.4</w:t>
            </w:r>
            <w:r>
              <w:rPr>
                <w:rFonts w:hint="eastAsia" w:ascii="Times New Roman" w:hAnsi="Times New Roman"/>
                <w:b/>
                <w:color w:val="000000" w:themeColor="text1"/>
                <w:spacing w:val="0"/>
                <w:position w:val="0"/>
                <w:sz w:val="24"/>
                <w:szCs w:val="20"/>
                <w:lang w:val="en-US" w:eastAsia="zh-CN"/>
                <w14:textFill>
                  <w14:solidFill>
                    <w14:schemeClr w14:val="tx1"/>
                  </w14:solidFill>
                </w14:textFill>
              </w:rPr>
              <w:t xml:space="preserve"> </w:t>
            </w:r>
            <w:r>
              <w:rPr>
                <w:rFonts w:hint="eastAsia" w:ascii="Times New Roman" w:hAnsi="Times New Roman"/>
                <w:b/>
                <w:color w:val="000000" w:themeColor="text1"/>
                <w:spacing w:val="0"/>
                <w:position w:val="0"/>
                <w:sz w:val="24"/>
                <w:szCs w:val="20"/>
                <w14:textFill>
                  <w14:solidFill>
                    <w14:schemeClr w14:val="tx1"/>
                  </w14:solidFill>
                </w14:textFill>
              </w:rPr>
              <w:t>土壤环境</w:t>
            </w:r>
          </w:p>
          <w:p>
            <w:pPr>
              <w:keepNext w:val="0"/>
              <w:keepLines w:val="0"/>
              <w:pageBreakBefore w:val="0"/>
              <w:widowControl w:val="0"/>
              <w:kinsoku/>
              <w:wordWrap w:val="0"/>
              <w:overflowPunct/>
              <w:topLinePunct w:val="0"/>
              <w:autoSpaceDE/>
              <w:autoSpaceDN/>
              <w:bidi w:val="0"/>
              <w:adjustRightInd/>
              <w:snapToGrid/>
              <w:spacing w:line="500" w:lineRule="exact"/>
              <w:ind w:left="0" w:firstLine="480" w:firstLineChars="200"/>
              <w:textAlignment w:val="auto"/>
              <w:rPr>
                <w:rFonts w:ascii="Times New Roman" w:hAnsi="Times New Roman" w:eastAsia="宋体" w:cs="宋体"/>
                <w:color w:val="000000" w:themeColor="text1"/>
                <w:spacing w:val="0"/>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项目土壤环境质量现状</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引</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用《许昌凯瑞斯特润滑科技有限公</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司年产30000吨工业润滑油项目</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环境影响报告表</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中，河南申越检测技术有限公司于2021年12月13日对该项目罐区区域表层样的</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监测数据进行评价</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监测结果情况见下表</w:t>
            </w:r>
            <w:r>
              <w:rPr>
                <w:rFonts w:hint="eastAsia" w:ascii="Times New Roman" w:hAnsi="Times New Roman" w:eastAsia="宋体" w:cs="宋体"/>
                <w:color w:val="000000" w:themeColor="text1"/>
                <w:spacing w:val="0"/>
                <w:position w:val="0"/>
                <w:sz w:val="24"/>
                <w:szCs w:val="24"/>
                <w:lang w:val="en-US" w:eastAsia="zh-CN"/>
                <w14:textFill>
                  <w14:solidFill>
                    <w14:schemeClr w14:val="tx1"/>
                  </w14:solidFill>
                </w14:textFill>
              </w:rPr>
              <w:t>。</w:t>
            </w:r>
          </w:p>
          <w:p>
            <w:pPr>
              <w:keepLines w:val="0"/>
              <w:pageBreakBefore w:val="0"/>
              <w:kinsoku/>
              <w:wordWrap w:val="0"/>
              <w:topLinePunct w:val="0"/>
              <w:bidi w:val="0"/>
              <w:adjustRightInd w:val="0"/>
              <w:snapToGrid w:val="0"/>
              <w:spacing w:line="240" w:lineRule="auto"/>
              <w:jc w:val="center"/>
              <w:rPr>
                <w:rFonts w:hint="default" w:ascii="Times New Roman" w:hAnsi="Times New Roman" w:eastAsia="宋体" w:cs="Times New Roman"/>
                <w:b/>
                <w:bCs/>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表3</w:t>
            </w:r>
            <w:r>
              <w:rPr>
                <w:rFonts w:hint="eastAsia" w:ascii="Times New Roman" w:hAnsi="Times New Roman" w:eastAsia="宋体" w:cs="Times New Roman"/>
                <w:b/>
                <w:bCs/>
                <w:snapToGrid w:val="0"/>
                <w:color w:val="000000" w:themeColor="text1"/>
                <w:spacing w:val="0"/>
                <w:kern w:val="0"/>
                <w:position w:val="0"/>
                <w:sz w:val="21"/>
                <w:szCs w:val="21"/>
                <w:lang w:val="en-US" w:eastAsia="zh-CN"/>
                <w14:textFill>
                  <w14:solidFill>
                    <w14:schemeClr w14:val="tx1"/>
                  </w14:solidFill>
                </w14:textFill>
              </w:rPr>
              <w:t>-</w:t>
            </w:r>
            <w:r>
              <w:rPr>
                <w:rFonts w:hint="default" w:ascii="Times New Roman" w:hAnsi="Times New Roman" w:eastAsia="宋体" w:cs="Times New Roman"/>
                <w:b/>
                <w:bCs/>
                <w:snapToGrid w:val="0"/>
                <w:color w:val="000000" w:themeColor="text1"/>
                <w:spacing w:val="0"/>
                <w:kern w:val="0"/>
                <w:position w:val="0"/>
                <w:sz w:val="21"/>
                <w:szCs w:val="21"/>
                <w:lang w:val="en-US" w:eastAsia="zh-CN"/>
                <w14:textFill>
                  <w14:solidFill>
                    <w14:schemeClr w14:val="tx1"/>
                  </w14:solidFill>
                </w14:textFill>
              </w:rPr>
              <w:t>5</w:t>
            </w: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 xml:space="preserve">  土壤环境质量</w:t>
            </w:r>
            <w:r>
              <w:rPr>
                <w:rFonts w:hint="default" w:ascii="Times New Roman" w:hAnsi="Times New Roman" w:eastAsia="宋体" w:cs="Times New Roman"/>
                <w:b/>
                <w:bCs/>
                <w:snapToGrid w:val="0"/>
                <w:color w:val="000000" w:themeColor="text1"/>
                <w:spacing w:val="0"/>
                <w:kern w:val="0"/>
                <w:position w:val="0"/>
                <w:sz w:val="21"/>
                <w:szCs w:val="21"/>
                <w:lang w:val="en-US" w:eastAsia="zh-CN"/>
                <w14:textFill>
                  <w14:solidFill>
                    <w14:schemeClr w14:val="tx1"/>
                  </w14:solidFill>
                </w14:textFill>
              </w:rPr>
              <w:t>现状</w:t>
            </w: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监测结果</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0"/>
              <w:gridCol w:w="2470"/>
              <w:gridCol w:w="2765"/>
              <w:gridCol w:w="205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038" w:hRule="atLeast"/>
              </w:trPr>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序号</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监测项目</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firstLine="0" w:firstLineChars="0"/>
                    <w:jc w:val="center"/>
                    <w:textAlignment w:val="auto"/>
                    <w:rPr>
                      <w:rFonts w:hint="eastAsia"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凯瑞斯特生产车间</w:t>
                  </w:r>
                  <w:r>
                    <w:rPr>
                      <w:rFonts w:hint="eastAsia"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（紧邻本项目南侧）</w:t>
                  </w:r>
                </w:p>
                <w:p>
                  <w:pPr>
                    <w:keepNext w:val="0"/>
                    <w:keepLines w:val="0"/>
                    <w:pageBreakBefore w:val="0"/>
                    <w:widowControl w:val="0"/>
                    <w:kinsoku/>
                    <w:wordWrap w:val="0"/>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坐标：</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N</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113.44876620</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E</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33.78734138</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GB36600-2018</w:t>
                  </w:r>
                </w:p>
                <w:p>
                  <w:pPr>
                    <w:keepNext w:val="0"/>
                    <w:keepLines w:val="0"/>
                    <w:pageBreakBefore w:val="0"/>
                    <w:widowControl w:val="0"/>
                    <w:kinsoku/>
                    <w:wordWrap w:val="0"/>
                    <w:overflowPunct/>
                    <w:topLinePunct w:val="0"/>
                    <w:autoSpaceDE/>
                    <w:autoSpaceDN/>
                    <w:bidi w:val="0"/>
                    <w:adjustRightInd/>
                    <w:snapToGrid/>
                    <w:spacing w:line="240" w:lineRule="auto"/>
                    <w:ind w:left="0" w:firstLine="0" w:firstLine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第二类用地筛选值</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0.68</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镉（mg/kg）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0.08</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六价铬（mg/kg）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2.0</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铜（mg/kg）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13</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18000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铅（mg/kg）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9.2</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800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汞（mg/kg）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0.518</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7</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镍（mg/kg）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32</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900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8</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四氯化碳（mg/kg）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9</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氯仿（mg/kg）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10</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氯甲烷（mg/kg）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37</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1,1-二氯乙烷（mg/kg）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9</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1,2-二氯乙烷（mg/kg）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13</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1,1-二氯乙烯（mg/kg）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14</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顺-1,2-二氯乙烯（mg/kg）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596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反-1,2-二氯乙烯（mg/kg）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16</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二氯甲烷（mg/kg）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0.0073</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616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17</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1,2-二氯丙烷（mg/kg）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18</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1,1,1,2-四氯乙烷（mg/kg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19</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1,1,2,2-四氯乙烷（mg/kg）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20</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四氯乙烯（mg/kg）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0.0067</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21</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1,1,1-三氯乙烷（mg/kg）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840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22</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1,1,2-三氯乙烷（mg/kg）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23</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三氯乙烯（mg/kg）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24</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1,2,3-三氯丙烷（mg/kg）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25</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氯乙烯（mg/kg）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26</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27</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氯苯（mg/kg）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28</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1,2-二氯苯（mg/kg）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29</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1,4-二氯苯（mg/kg）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30</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乙苯（mg/kg）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28</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31</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苯乙烯（mg/kg）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1290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32</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甲苯（mg/kg）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0.0042</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1200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33</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间二甲苯+对二甲苯（mg/kg）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34</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邻二甲苯（mg/kg）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640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35</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硝基苯（mg/kg）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76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36</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苯胺（mg/kg）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260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37</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2-氯酚（mg/kg）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2256</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38</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苯并[a]蒽（mg/kg）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39</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苯并[a]芘（mg/kg）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40</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苯并[b]荧蒽（mg/kg）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41</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苯并[k]荧蒽（mg/kg）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42</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䓛（mg/kg）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1293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43</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二苯并[a,h]蒽（mg/kg）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44</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茚并[1,2,3-c,d]芘（mg/kg）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15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45</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萘（mg/kg）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70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46</w:t>
                  </w:r>
                </w:p>
              </w:tc>
              <w:tc>
                <w:tcPr>
                  <w:tcW w:w="247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石油烃（C10~C40）（mg/kg）</w:t>
                  </w:r>
                </w:p>
              </w:tc>
              <w:tc>
                <w:tcPr>
                  <w:tcW w:w="2765"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未检出</w:t>
                  </w:r>
                </w:p>
              </w:tc>
              <w:tc>
                <w:tcPr>
                  <w:tcW w:w="205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4500</w:t>
                  </w:r>
                </w:p>
              </w:tc>
            </w:tr>
          </w:tbl>
          <w:p>
            <w:pPr>
              <w:keepLines w:val="0"/>
              <w:pageBreakBefore w:val="0"/>
              <w:kinsoku/>
              <w:wordWrap w:val="0"/>
              <w:topLinePunct w:val="0"/>
              <w:bidi w:val="0"/>
              <w:spacing w:line="520" w:lineRule="exact"/>
              <w:ind w:firstLine="480" w:firstLineChars="200"/>
              <w:rPr>
                <w:rFonts w:hint="eastAsia" w:ascii="Times New Roman" w:hAnsi="Times New Roman"/>
                <w:color w:val="000000" w:themeColor="text1"/>
                <w:spacing w:val="0"/>
                <w:position w:val="0"/>
                <w:sz w:val="24"/>
                <w:szCs w:val="22"/>
                <w14:textFill>
                  <w14:solidFill>
                    <w14:schemeClr w14:val="tx1"/>
                  </w14:solidFill>
                </w14:textFill>
              </w:rPr>
            </w:pPr>
            <w:r>
              <w:rPr>
                <w:rFonts w:hint="eastAsia" w:ascii="Times New Roman" w:hAnsi="Times New Roman"/>
                <w:color w:val="000000" w:themeColor="text1"/>
                <w:spacing w:val="0"/>
                <w:position w:val="0"/>
                <w:sz w:val="24"/>
                <w:szCs w:val="22"/>
                <w:lang w:val="en-US" w:eastAsia="zh-CN"/>
                <w14:textFill>
                  <w14:solidFill>
                    <w14:schemeClr w14:val="tx1"/>
                  </w14:solidFill>
                </w14:textFill>
              </w:rPr>
              <w:t>经调查</w:t>
            </w:r>
            <w:r>
              <w:rPr>
                <w:rFonts w:hint="eastAsia" w:ascii="Times New Roman" w:hAnsi="Times New Roman"/>
                <w:color w:val="000000" w:themeColor="text1"/>
                <w:spacing w:val="0"/>
                <w:position w:val="0"/>
                <w:sz w:val="24"/>
                <w:szCs w:val="22"/>
                <w14:textFill>
                  <w14:solidFill>
                    <w14:schemeClr w14:val="tx1"/>
                  </w14:solidFill>
                </w14:textFill>
              </w:rPr>
              <w:t>，</w:t>
            </w:r>
            <w:r>
              <w:rPr>
                <w:rFonts w:hint="eastAsia" w:ascii="Times New Roman" w:hAnsi="Times New Roman"/>
                <w:color w:val="000000" w:themeColor="text1"/>
                <w:spacing w:val="0"/>
                <w:position w:val="0"/>
                <w:sz w:val="24"/>
                <w:szCs w:val="22"/>
                <w:lang w:val="en-US" w:eastAsia="zh-CN"/>
                <w14:textFill>
                  <w14:solidFill>
                    <w14:schemeClr w14:val="tx1"/>
                  </w14:solidFill>
                </w14:textFill>
              </w:rPr>
              <w:t>项目所租用厂房未列入土壤疑似污染地块，区域</w:t>
            </w:r>
            <w:r>
              <w:rPr>
                <w:rFonts w:hint="eastAsia" w:ascii="Times New Roman" w:hAnsi="Times New Roman"/>
                <w:color w:val="000000" w:themeColor="text1"/>
                <w:spacing w:val="0"/>
                <w:position w:val="0"/>
                <w:sz w:val="24"/>
                <w:szCs w:val="22"/>
                <w14:textFill>
                  <w14:solidFill>
                    <w14:schemeClr w14:val="tx1"/>
                  </w14:solidFill>
                </w14:textFill>
              </w:rPr>
              <w:t>土壤样品各因子均满足《土壤环境质量建设用地土壤污染风险管控标准（试行）》（GB36600-2018）中的第二类用地筛选值。</w:t>
            </w:r>
          </w:p>
          <w:p>
            <w:pPr>
              <w:keepLines w:val="0"/>
              <w:pageBreakBefore w:val="0"/>
              <w:kinsoku/>
              <w:wordWrap w:val="0"/>
              <w:topLinePunct w:val="0"/>
              <w:bidi w:val="0"/>
              <w:spacing w:line="520" w:lineRule="exact"/>
              <w:rPr>
                <w:rFonts w:ascii="Times New Roman" w:hAnsi="Times New Roman"/>
                <w:b/>
                <w:color w:val="000000" w:themeColor="text1"/>
                <w:spacing w:val="0"/>
                <w:position w:val="0"/>
                <w:sz w:val="24"/>
                <w:szCs w:val="20"/>
                <w14:textFill>
                  <w14:solidFill>
                    <w14:schemeClr w14:val="tx1"/>
                  </w14:solidFill>
                </w14:textFill>
              </w:rPr>
            </w:pPr>
            <w:r>
              <w:rPr>
                <w:rFonts w:ascii="Times New Roman" w:hAnsi="Times New Roman"/>
                <w:b/>
                <w:color w:val="000000" w:themeColor="text1"/>
                <w:spacing w:val="0"/>
                <w:position w:val="0"/>
                <w:sz w:val="24"/>
                <w:szCs w:val="20"/>
                <w14:textFill>
                  <w14:solidFill>
                    <w14:schemeClr w14:val="tx1"/>
                  </w14:solidFill>
                </w14:textFill>
              </w:rPr>
              <w:t>3.5</w:t>
            </w:r>
            <w:r>
              <w:rPr>
                <w:rFonts w:hint="eastAsia" w:ascii="Times New Roman" w:hAnsi="Times New Roman"/>
                <w:b/>
                <w:color w:val="000000" w:themeColor="text1"/>
                <w:spacing w:val="0"/>
                <w:position w:val="0"/>
                <w:sz w:val="24"/>
                <w:szCs w:val="20"/>
                <w:lang w:val="en-US" w:eastAsia="zh-CN"/>
                <w14:textFill>
                  <w14:solidFill>
                    <w14:schemeClr w14:val="tx1"/>
                  </w14:solidFill>
                </w14:textFill>
              </w:rPr>
              <w:t xml:space="preserve"> </w:t>
            </w:r>
            <w:r>
              <w:rPr>
                <w:rFonts w:ascii="Times New Roman" w:hAnsi="Times New Roman"/>
                <w:b/>
                <w:color w:val="000000" w:themeColor="text1"/>
                <w:spacing w:val="0"/>
                <w:position w:val="0"/>
                <w:sz w:val="24"/>
                <w:szCs w:val="20"/>
                <w14:textFill>
                  <w14:solidFill>
                    <w14:schemeClr w14:val="tx1"/>
                  </w14:solidFill>
                </w14:textFill>
              </w:rPr>
              <w:t>声环境</w:t>
            </w:r>
          </w:p>
          <w:p>
            <w:pPr>
              <w:keepNext w:val="0"/>
              <w:keepLines w:val="0"/>
              <w:pageBreakBefore w:val="0"/>
              <w:widowControl w:val="0"/>
              <w:kinsoku/>
              <w:wordWrap w:val="0"/>
              <w:overflowPunct/>
              <w:topLinePunct w:val="0"/>
              <w:autoSpaceDE/>
              <w:autoSpaceDN/>
              <w:bidi w:val="0"/>
              <w:spacing w:line="500" w:lineRule="exact"/>
              <w:ind w:left="0" w:firstLine="480" w:firstLineChars="200"/>
              <w:jc w:val="both"/>
              <w:textAlignment w:val="auto"/>
              <w:rPr>
                <w:rFonts w:hint="default" w:ascii="Times New Roman" w:hAnsi="Times New Roman" w:eastAsia="宋体" w:cs="Times New Roman"/>
                <w:bCs/>
                <w:color w:val="000000" w:themeColor="text1"/>
                <w:spacing w:val="0"/>
                <w:position w:val="0"/>
                <w:sz w:val="24"/>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本项目位于襄城县先进制造业开发区南区（原襄城县循环经济产业集聚区），所在区域属2类声环境功能区，执行《声环境质量标准》（GB3096-2008）中规定的2类功能区标准。</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引用</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《许昌凯瑞斯特润滑科技有限公</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司年产30000吨工业润滑油项目</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环境影响报告表</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中，河南申越检测技术有限公司于2021年12月13日~14日，对该项目四周厂界声环境现状的</w:t>
            </w:r>
            <w:r>
              <w:rPr>
                <w:rFonts w:hint="default" w:ascii="Times New Roman" w:hAnsi="Times New Roman" w:eastAsia="宋体" w:cs="Times New Roman"/>
                <w:color w:val="000000" w:themeColor="text1"/>
                <w:spacing w:val="0"/>
                <w:position w:val="0"/>
                <w:sz w:val="24"/>
                <w:szCs w:val="24"/>
                <w:lang w:val="en-US" w:eastAsia="zh-CN"/>
                <w14:textFill>
                  <w14:solidFill>
                    <w14:schemeClr w14:val="tx1"/>
                  </w14:solidFill>
                </w14:textFill>
              </w:rPr>
              <w:t>监测数据进行评价</w:t>
            </w: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。监测结果见</w:t>
            </w:r>
            <w:r>
              <w:rPr>
                <w:rFonts w:hint="eastAsia" w:ascii="Times New Roman" w:hAnsi="Times New Roman" w:eastAsia="宋体" w:cs="Times New Roman"/>
                <w:color w:val="000000" w:themeColor="text1"/>
                <w:spacing w:val="0"/>
                <w:position w:val="0"/>
                <w:sz w:val="24"/>
                <w:szCs w:val="24"/>
                <w:lang w:val="en-US" w:eastAsia="zh-CN"/>
                <w14:textFill>
                  <w14:solidFill>
                    <w14:schemeClr w14:val="tx1"/>
                  </w14:solidFill>
                </w14:textFill>
              </w:rPr>
              <w:t>下表</w:t>
            </w:r>
            <w:r>
              <w:rPr>
                <w:rFonts w:hint="default" w:ascii="Times New Roman" w:hAnsi="Times New Roman" w:eastAsia="宋体" w:cs="Times New Roman"/>
                <w:bCs/>
                <w:color w:val="000000" w:themeColor="text1"/>
                <w:spacing w:val="0"/>
                <w:position w:val="0"/>
                <w:sz w:val="24"/>
                <w14:textFill>
                  <w14:solidFill>
                    <w14:schemeClr w14:val="tx1"/>
                  </w14:solidFill>
                </w14:textFill>
              </w:rPr>
              <w:t>。</w:t>
            </w:r>
            <w:bookmarkStart w:id="5" w:name="_Toc443926470"/>
            <w:bookmarkStart w:id="6" w:name="_Toc409016557"/>
          </w:p>
          <w:p>
            <w:pPr>
              <w:keepLines w:val="0"/>
              <w:pageBreakBefore w:val="0"/>
              <w:kinsoku/>
              <w:wordWrap w:val="0"/>
              <w:topLinePunct w:val="0"/>
              <w:bidi w:val="0"/>
              <w:adjustRightInd w:val="0"/>
              <w:snapToGrid w:val="0"/>
              <w:spacing w:line="240" w:lineRule="auto"/>
              <w:jc w:val="center"/>
              <w:rPr>
                <w:rFonts w:hint="default" w:ascii="Times New Roman" w:hAnsi="Times New Roman" w:eastAsia="宋体" w:cs="Times New Roman"/>
                <w:b/>
                <w:bCs/>
                <w:color w:val="000000" w:themeColor="text1"/>
                <w:spacing w:val="0"/>
                <w:position w:val="0"/>
                <w:sz w:val="21"/>
                <w:szCs w:val="21"/>
                <w14:textFill>
                  <w14:solidFill>
                    <w14:schemeClr w14:val="tx1"/>
                  </w14:solidFill>
                </w14:textFill>
              </w:rPr>
            </w:pP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表3-</w:t>
            </w:r>
            <w:r>
              <w:rPr>
                <w:rFonts w:hint="default" w:ascii="Times New Roman" w:hAnsi="Times New Roman" w:eastAsia="宋体" w:cs="Times New Roman"/>
                <w:b/>
                <w:bCs/>
                <w:snapToGrid w:val="0"/>
                <w:color w:val="000000" w:themeColor="text1"/>
                <w:spacing w:val="0"/>
                <w:kern w:val="0"/>
                <w:position w:val="0"/>
                <w:sz w:val="21"/>
                <w:szCs w:val="21"/>
                <w:lang w:val="en-US" w:eastAsia="zh-CN"/>
                <w14:textFill>
                  <w14:solidFill>
                    <w14:schemeClr w14:val="tx1"/>
                  </w14:solidFill>
                </w14:textFill>
              </w:rPr>
              <w:t>6</w:t>
            </w: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 xml:space="preserve">  声环境</w:t>
            </w:r>
            <w:r>
              <w:rPr>
                <w:rFonts w:hint="default" w:ascii="Times New Roman" w:hAnsi="Times New Roman" w:eastAsia="宋体" w:cs="Times New Roman"/>
                <w:b/>
                <w:bCs/>
                <w:snapToGrid w:val="0"/>
                <w:color w:val="000000" w:themeColor="text1"/>
                <w:spacing w:val="0"/>
                <w:kern w:val="0"/>
                <w:position w:val="0"/>
                <w:sz w:val="21"/>
                <w:szCs w:val="21"/>
                <w:lang w:val="en-US" w:eastAsia="zh-CN"/>
                <w14:textFill>
                  <w14:solidFill>
                    <w14:schemeClr w14:val="tx1"/>
                  </w14:solidFill>
                </w14:textFill>
              </w:rPr>
              <w:t>质量</w:t>
            </w:r>
            <w:r>
              <w:rPr>
                <w:rFonts w:hint="default" w:ascii="Times New Roman" w:hAnsi="Times New Roman" w:eastAsia="宋体" w:cs="Times New Roman"/>
                <w:b/>
                <w:bCs/>
                <w:snapToGrid w:val="0"/>
                <w:color w:val="000000" w:themeColor="text1"/>
                <w:spacing w:val="0"/>
                <w:kern w:val="0"/>
                <w:position w:val="0"/>
                <w:sz w:val="21"/>
                <w:szCs w:val="21"/>
                <w14:textFill>
                  <w14:solidFill>
                    <w14:schemeClr w14:val="tx1"/>
                  </w14:solidFill>
                </w14:textFill>
              </w:rPr>
              <w:t>现状监测</w:t>
            </w:r>
            <w:r>
              <w:rPr>
                <w:rFonts w:hint="default" w:ascii="Times New Roman" w:hAnsi="Times New Roman" w:eastAsia="宋体" w:cs="Times New Roman"/>
                <w:b/>
                <w:bCs/>
                <w:snapToGrid w:val="0"/>
                <w:color w:val="000000" w:themeColor="text1"/>
                <w:spacing w:val="0"/>
                <w:kern w:val="0"/>
                <w:position w:val="0"/>
                <w:sz w:val="21"/>
                <w:szCs w:val="21"/>
                <w:lang w:val="en-US" w:eastAsia="zh-CN"/>
                <w14:textFill>
                  <w14:solidFill>
                    <w14:schemeClr w14:val="tx1"/>
                  </w14:solidFill>
                </w14:textFill>
              </w:rPr>
              <w:t>统计表</w:t>
            </w:r>
            <w:bookmarkEnd w:id="5"/>
            <w:bookmarkEnd w:id="6"/>
            <w:bookmarkStart w:id="7" w:name="_Hlk45717117"/>
          </w:p>
          <w:bookmarkEnd w:id="7"/>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3"/>
              <w:gridCol w:w="1594"/>
              <w:gridCol w:w="1594"/>
              <w:gridCol w:w="1594"/>
              <w:gridCol w:w="159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检测日期</w:t>
                  </w:r>
                </w:p>
              </w:tc>
              <w:tc>
                <w:tcPr>
                  <w:tcW w:w="1594"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检测点位</w:t>
                  </w:r>
                </w:p>
              </w:tc>
              <w:tc>
                <w:tcPr>
                  <w:tcW w:w="1594"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单位</w:t>
                  </w:r>
                </w:p>
              </w:tc>
              <w:tc>
                <w:tcPr>
                  <w:tcW w:w="3188" w:type="dxa"/>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检测结果</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昼间</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夜间</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6" w:hRule="atLeast"/>
              </w:trPr>
              <w:tc>
                <w:tcPr>
                  <w:tcW w:w="1593"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2021.12.13</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东厂界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56</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南厂界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54</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西厂界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52</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北厂界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53</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2012.12.14</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东厂界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55</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南厂界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54</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西厂界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52</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41</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593" w:type="dxa"/>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北厂界</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kern w:val="2"/>
                      <w:position w:val="0"/>
                      <w:sz w:val="21"/>
                      <w:szCs w:val="21"/>
                      <w:vertAlign w:val="baseline"/>
                      <w:lang w:val="en-US" w:eastAsia="zh-CN" w:bidi="ar-SA"/>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dB（A）</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54</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44</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1" w:type="dxa"/>
                  <w:gridSpan w:val="3"/>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评价标准（2类）</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60</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leftChars="0"/>
                    <w:jc w:val="center"/>
                    <w:textAlignment w:val="auto"/>
                    <w:rPr>
                      <w:rFonts w:hint="default" w:ascii="Times New Roman" w:hAnsi="Times New Roman" w:eastAsia="宋体" w:cs="Times New Roman"/>
                      <w:color w:val="000000" w:themeColor="text1"/>
                      <w:spacing w:val="0"/>
                      <w:position w:val="0"/>
                      <w:sz w:val="21"/>
                      <w:szCs w:val="21"/>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50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781" w:type="dxa"/>
                  <w:gridSpan w:val="3"/>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达标分析</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达标</w:t>
                  </w:r>
                </w:p>
              </w:tc>
              <w:tc>
                <w:tcPr>
                  <w:tcW w:w="1594"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baseline"/>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达标</w:t>
                  </w:r>
                </w:p>
              </w:tc>
            </w:tr>
          </w:tbl>
          <w:p>
            <w:pPr>
              <w:keepLines w:val="0"/>
              <w:pageBreakBefore w:val="0"/>
              <w:kinsoku/>
              <w:wordWrap w:val="0"/>
              <w:topLinePunct w:val="0"/>
              <w:bidi w:val="0"/>
              <w:spacing w:line="360" w:lineRule="auto"/>
              <w:ind w:firstLine="480" w:firstLineChars="200"/>
              <w:jc w:val="left"/>
              <w:textAlignment w:val="baseline"/>
              <w:rPr>
                <w:rFonts w:ascii="Times New Roman" w:hAnsi="Times New Roman"/>
                <w:color w:val="000000" w:themeColor="text1"/>
                <w:spacing w:val="0"/>
                <w:position w:val="0"/>
                <w:sz w:val="24"/>
                <w:szCs w:val="28"/>
                <w14:textFill>
                  <w14:solidFill>
                    <w14:schemeClr w14:val="tx1"/>
                  </w14:solidFill>
                </w14:textFill>
              </w:rPr>
            </w:pPr>
            <w:r>
              <w:rPr>
                <w:rFonts w:ascii="Times New Roman" w:hAnsi="Times New Roman"/>
                <w:color w:val="000000" w:themeColor="text1"/>
                <w:spacing w:val="0"/>
                <w:position w:val="0"/>
                <w:sz w:val="24"/>
                <w:szCs w:val="28"/>
                <w14:textFill>
                  <w14:solidFill>
                    <w14:schemeClr w14:val="tx1"/>
                  </w14:solidFill>
                </w14:textFill>
              </w:rPr>
              <w:t>从上表看出，</w:t>
            </w:r>
            <w:r>
              <w:rPr>
                <w:rFonts w:hint="eastAsia" w:ascii="Times New Roman" w:hAnsi="Times New Roman"/>
                <w:color w:val="000000" w:themeColor="text1"/>
                <w:spacing w:val="0"/>
                <w:position w:val="0"/>
                <w:sz w:val="24"/>
                <w:szCs w:val="28"/>
                <w14:textFill>
                  <w14:solidFill>
                    <w14:schemeClr w14:val="tx1"/>
                  </w14:solidFill>
                </w14:textFill>
              </w:rPr>
              <w:t>区域声环境现状</w:t>
            </w:r>
            <w:r>
              <w:rPr>
                <w:rFonts w:ascii="Times New Roman" w:hAnsi="Times New Roman"/>
                <w:color w:val="000000" w:themeColor="text1"/>
                <w:spacing w:val="0"/>
                <w:position w:val="0"/>
                <w:sz w:val="24"/>
                <w:szCs w:val="28"/>
                <w14:textFill>
                  <w14:solidFill>
                    <w14:schemeClr w14:val="tx1"/>
                  </w14:solidFill>
                </w14:textFill>
              </w:rPr>
              <w:t>昼、夜间噪声监测值满足《声环境质量标准》（GB3096-2008）2类标准要求。</w:t>
            </w:r>
          </w:p>
          <w:p>
            <w:pPr>
              <w:keepLines w:val="0"/>
              <w:pageBreakBefore w:val="0"/>
              <w:kinsoku/>
              <w:wordWrap w:val="0"/>
              <w:topLinePunct w:val="0"/>
              <w:bidi w:val="0"/>
              <w:spacing w:line="360" w:lineRule="auto"/>
              <w:jc w:val="left"/>
              <w:textAlignment w:val="baseline"/>
              <w:rPr>
                <w:rFonts w:ascii="Times New Roman" w:hAnsi="Times New Roman"/>
                <w:color w:val="000000" w:themeColor="text1"/>
                <w:spacing w:val="0"/>
                <w:position w:val="0"/>
                <w:sz w:val="24"/>
                <w:szCs w:val="28"/>
                <w14:textFill>
                  <w14:solidFill>
                    <w14:schemeClr w14:val="tx1"/>
                  </w14:solidFill>
                </w14:textFill>
              </w:rPr>
            </w:pPr>
            <w:r>
              <w:rPr>
                <w:rFonts w:ascii="Times New Roman" w:hAnsi="Times New Roman"/>
                <w:b/>
                <w:color w:val="000000" w:themeColor="text1"/>
                <w:spacing w:val="0"/>
                <w:position w:val="0"/>
                <w:sz w:val="24"/>
                <w:szCs w:val="20"/>
                <w14:textFill>
                  <w14:solidFill>
                    <w14:schemeClr w14:val="tx1"/>
                  </w14:solidFill>
                </w14:textFill>
              </w:rPr>
              <w:t>3.6</w:t>
            </w:r>
            <w:r>
              <w:rPr>
                <w:rFonts w:hint="eastAsia" w:ascii="Times New Roman" w:hAnsi="Times New Roman"/>
                <w:b/>
                <w:color w:val="000000" w:themeColor="text1"/>
                <w:spacing w:val="0"/>
                <w:position w:val="0"/>
                <w:sz w:val="24"/>
                <w:szCs w:val="20"/>
                <w:lang w:val="en-US" w:eastAsia="zh-CN"/>
                <w14:textFill>
                  <w14:solidFill>
                    <w14:schemeClr w14:val="tx1"/>
                  </w14:solidFill>
                </w14:textFill>
              </w:rPr>
              <w:t xml:space="preserve"> </w:t>
            </w:r>
            <w:r>
              <w:rPr>
                <w:rFonts w:hint="eastAsia" w:ascii="Times New Roman" w:hAnsi="Times New Roman"/>
                <w:b/>
                <w:color w:val="000000" w:themeColor="text1"/>
                <w:spacing w:val="0"/>
                <w:position w:val="0"/>
                <w:sz w:val="24"/>
                <w:szCs w:val="20"/>
                <w14:textFill>
                  <w14:solidFill>
                    <w14:schemeClr w14:val="tx1"/>
                  </w14:solidFill>
                </w14:textFill>
              </w:rPr>
              <w:t>生态</w:t>
            </w:r>
            <w:r>
              <w:rPr>
                <w:rFonts w:ascii="Times New Roman" w:hAnsi="Times New Roman"/>
                <w:b/>
                <w:color w:val="000000" w:themeColor="text1"/>
                <w:spacing w:val="0"/>
                <w:position w:val="0"/>
                <w:sz w:val="24"/>
                <w:szCs w:val="20"/>
                <w14:textFill>
                  <w14:solidFill>
                    <w14:schemeClr w14:val="tx1"/>
                  </w14:solidFill>
                </w14:textFill>
              </w:rPr>
              <w:t>环境</w:t>
            </w:r>
          </w:p>
          <w:p>
            <w:pPr>
              <w:keepLines w:val="0"/>
              <w:pageBreakBefore w:val="0"/>
              <w:kinsoku/>
              <w:wordWrap w:val="0"/>
              <w:topLinePunct w:val="0"/>
              <w:bidi w:val="0"/>
              <w:spacing w:line="360" w:lineRule="auto"/>
              <w:ind w:firstLine="480" w:firstLineChars="200"/>
              <w:jc w:val="left"/>
              <w:textAlignment w:val="baseline"/>
              <w:rPr>
                <w:rFonts w:hint="eastAsia" w:ascii="Times New Roman" w:hAnsi="Times New Roman"/>
                <w:bCs/>
                <w:color w:val="000000" w:themeColor="text1"/>
                <w:spacing w:val="0"/>
                <w:position w:val="0"/>
                <w:sz w:val="24"/>
                <w14:textFill>
                  <w14:solidFill>
                    <w14:schemeClr w14:val="tx1"/>
                  </w14:solidFill>
                </w14:textFill>
              </w:rPr>
            </w:pPr>
            <w:r>
              <w:rPr>
                <w:rFonts w:hint="eastAsia" w:ascii="Times New Roman" w:hAnsi="Times New Roman"/>
                <w:bCs/>
                <w:color w:val="000000" w:themeColor="text1"/>
                <w:spacing w:val="0"/>
                <w:position w:val="0"/>
                <w:sz w:val="24"/>
                <w:lang w:val="en-US" w:eastAsia="zh-CN"/>
                <w14:textFill>
                  <w14:solidFill>
                    <w14:schemeClr w14:val="tx1"/>
                  </w14:solidFill>
                </w14:textFill>
              </w:rPr>
              <w:t>本项目</w:t>
            </w:r>
            <w:r>
              <w:rPr>
                <w:rFonts w:hint="eastAsia"/>
                <w:bCs/>
                <w:color w:val="000000" w:themeColor="text1"/>
                <w:spacing w:val="0"/>
                <w:position w:val="0"/>
                <w:sz w:val="24"/>
                <w:lang w:val="en-US" w:eastAsia="zh-CN"/>
                <w14:textFill>
                  <w14:solidFill>
                    <w14:schemeClr w14:val="tx1"/>
                  </w14:solidFill>
                </w14:textFill>
              </w:rPr>
              <w:t>租赁现有厂房，</w:t>
            </w:r>
            <w:r>
              <w:rPr>
                <w:rFonts w:hint="eastAsia" w:ascii="Times New Roman" w:hAnsi="Times New Roman"/>
                <w:bCs/>
                <w:color w:val="000000" w:themeColor="text1"/>
                <w:spacing w:val="0"/>
                <w:position w:val="0"/>
                <w:sz w:val="24"/>
                <w:lang w:val="en-US" w:eastAsia="zh-CN"/>
                <w14:textFill>
                  <w14:solidFill>
                    <w14:schemeClr w14:val="tx1"/>
                  </w14:solidFill>
                </w14:textFill>
              </w:rPr>
              <w:t>无</w:t>
            </w:r>
            <w:r>
              <w:rPr>
                <w:rFonts w:hint="eastAsia"/>
                <w:bCs/>
                <w:color w:val="000000" w:themeColor="text1"/>
                <w:spacing w:val="0"/>
                <w:position w:val="0"/>
                <w:sz w:val="24"/>
                <w:lang w:val="en-US" w:eastAsia="zh-CN"/>
                <w14:textFill>
                  <w14:solidFill>
                    <w14:schemeClr w14:val="tx1"/>
                  </w14:solidFill>
                </w14:textFill>
              </w:rPr>
              <w:t>其它</w:t>
            </w:r>
            <w:r>
              <w:rPr>
                <w:rFonts w:hint="eastAsia" w:ascii="Times New Roman" w:hAnsi="Times New Roman"/>
                <w:bCs/>
                <w:color w:val="000000" w:themeColor="text1"/>
                <w:spacing w:val="0"/>
                <w:position w:val="0"/>
                <w:sz w:val="24"/>
                <w:lang w:val="en-US" w:eastAsia="zh-CN"/>
                <w14:textFill>
                  <w14:solidFill>
                    <w14:schemeClr w14:val="tx1"/>
                  </w14:solidFill>
                </w14:textFill>
              </w:rPr>
              <w:t>新增用地，无需开展生态环境现状调查</w:t>
            </w:r>
            <w:r>
              <w:rPr>
                <w:rFonts w:hint="eastAsia" w:ascii="Times New Roman" w:hAnsi="Times New Roman"/>
                <w:bCs/>
                <w:color w:val="000000" w:themeColor="text1"/>
                <w:spacing w:val="0"/>
                <w:position w:val="0"/>
                <w:sz w:val="24"/>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00" w:hRule="atLeast"/>
          <w:jc w:val="center"/>
        </w:trPr>
        <w:tc>
          <w:tcPr>
            <w:tcW w:w="800"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环境</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保护</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目标</w:t>
            </w:r>
          </w:p>
        </w:tc>
        <w:tc>
          <w:tcPr>
            <w:tcW w:w="8190" w:type="dxa"/>
            <w:noWrap w:val="0"/>
            <w:vAlign w:val="center"/>
          </w:tcPr>
          <w:p>
            <w:pPr>
              <w:keepLines w:val="0"/>
              <w:pageBreakBefore w:val="0"/>
              <w:kinsoku/>
              <w:wordWrap w:val="0"/>
              <w:topLinePunct w:val="0"/>
              <w:bidi w:val="0"/>
              <w:spacing w:line="520" w:lineRule="exact"/>
              <w:ind w:firstLine="480" w:firstLineChars="200"/>
              <w:rPr>
                <w:rFonts w:hint="default" w:ascii="Times New Roman" w:hAnsi="Times New Roman" w:eastAsia="宋体"/>
                <w:color w:val="000000" w:themeColor="text1"/>
                <w:spacing w:val="0"/>
                <w:position w:val="0"/>
                <w:sz w:val="24"/>
                <w:lang w:val="en-US" w:eastAsia="zh-CN"/>
                <w14:textFill>
                  <w14:solidFill>
                    <w14:schemeClr w14:val="tx1"/>
                  </w14:solidFill>
                </w14:textFill>
              </w:rPr>
            </w:pPr>
            <w:r>
              <w:rPr>
                <w:rFonts w:hint="eastAsia" w:ascii="Times New Roman" w:hAnsi="Times New Roman"/>
                <w:bCs/>
                <w:color w:val="000000" w:themeColor="text1"/>
                <w:spacing w:val="0"/>
                <w:position w:val="0"/>
                <w:sz w:val="24"/>
                <w:lang w:val="en-US" w:eastAsia="zh-CN"/>
                <w14:textFill>
                  <w14:solidFill>
                    <w14:schemeClr w14:val="tx1"/>
                  </w14:solidFill>
                </w14:textFill>
              </w:rPr>
              <w:t>根据现场勘查，评价范围内没有发现文物、名胜古迹和稀有动、植物种群等需特殊保护对象</w:t>
            </w:r>
            <w:r>
              <w:rPr>
                <w:rFonts w:hint="eastAsia" w:ascii="Times New Roman" w:hAnsi="Times New Roman"/>
                <w:color w:val="000000" w:themeColor="text1"/>
                <w:spacing w:val="0"/>
                <w:position w:val="0"/>
                <w:sz w:val="24"/>
                <w14:textFill>
                  <w14:solidFill>
                    <w14:schemeClr w14:val="tx1"/>
                  </w14:solidFill>
                </w14:textFill>
              </w:rPr>
              <w:t>。</w:t>
            </w:r>
            <w:r>
              <w:rPr>
                <w:rFonts w:hint="eastAsia" w:ascii="Times New Roman" w:hAnsi="Times New Roman"/>
                <w:color w:val="000000" w:themeColor="text1"/>
                <w:spacing w:val="0"/>
                <w:position w:val="0"/>
                <w:sz w:val="24"/>
                <w:lang w:val="en-US" w:eastAsia="zh-CN"/>
                <w14:textFill>
                  <w14:solidFill>
                    <w14:schemeClr w14:val="tx1"/>
                  </w14:solidFill>
                </w14:textFill>
              </w:rPr>
              <w:t>本项目主要环境保护目标见下表。</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表3-7  项目</w:t>
            </w:r>
            <w:r>
              <w:rPr>
                <w:rFonts w:hint="default" w:ascii="Times New Roman" w:hAnsi="Times New Roman" w:eastAsia="宋体" w:cs="Times New Roman"/>
                <w:b/>
                <w:bCs/>
                <w:color w:val="000000" w:themeColor="text1"/>
                <w:spacing w:val="0"/>
                <w:kern w:val="0"/>
                <w:position w:val="0"/>
                <w:sz w:val="21"/>
                <w:szCs w:val="21"/>
                <w14:textFill>
                  <w14:solidFill>
                    <w14:schemeClr w14:val="tx1"/>
                  </w14:solidFill>
                </w14:textFill>
              </w:rPr>
              <w:t>主要环境保护目标</w:t>
            </w:r>
            <w:r>
              <w:rPr>
                <w:rFonts w:hint="default"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一览表</w:t>
            </w:r>
          </w:p>
          <w:tbl>
            <w:tblPr>
              <w:tblStyle w:val="18"/>
              <w:tblW w:w="4902" w:type="pct"/>
              <w:jc w:val="center"/>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Layout w:type="autofit"/>
              <w:tblCellMar>
                <w:top w:w="0" w:type="dxa"/>
                <w:left w:w="108" w:type="dxa"/>
                <w:bottom w:w="0" w:type="dxa"/>
                <w:right w:w="108" w:type="dxa"/>
              </w:tblCellMar>
            </w:tblPr>
            <w:tblGrid>
              <w:gridCol w:w="1057"/>
              <w:gridCol w:w="1080"/>
              <w:gridCol w:w="690"/>
              <w:gridCol w:w="734"/>
              <w:gridCol w:w="1034"/>
              <w:gridCol w:w="931"/>
              <w:gridCol w:w="2292"/>
            </w:tblGrid>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ascii="Times New Roman" w:hAnsi="Times New Roman" w:cs="Calibri"/>
                      <w:color w:val="000000" w:themeColor="text1"/>
                      <w:spacing w:val="0"/>
                      <w:position w:val="0"/>
                      <w:szCs w:val="21"/>
                      <w14:textFill>
                        <w14:solidFill>
                          <w14:schemeClr w14:val="tx1"/>
                        </w14:solidFill>
                      </w14:textFill>
                    </w:rPr>
                    <w:t>环境要素</w:t>
                  </w:r>
                </w:p>
              </w:tc>
              <w:tc>
                <w:tcPr>
                  <w:tcW w:w="690"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ascii="Times New Roman" w:hAnsi="Times New Roman" w:cs="Calibri"/>
                      <w:color w:val="000000" w:themeColor="text1"/>
                      <w:spacing w:val="0"/>
                      <w:position w:val="0"/>
                      <w:szCs w:val="21"/>
                      <w14:textFill>
                        <w14:solidFill>
                          <w14:schemeClr w14:val="tx1"/>
                        </w14:solidFill>
                      </w14:textFill>
                    </w:rPr>
                    <w:t>敏感点</w:t>
                  </w:r>
                </w:p>
              </w:tc>
              <w:tc>
                <w:tcPr>
                  <w:tcW w:w="441"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ascii="Times New Roman" w:hAnsi="Times New Roman" w:cs="Calibri"/>
                      <w:color w:val="000000" w:themeColor="text1"/>
                      <w:spacing w:val="0"/>
                      <w:position w:val="0"/>
                      <w:szCs w:val="21"/>
                      <w14:textFill>
                        <w14:solidFill>
                          <w14:schemeClr w14:val="tx1"/>
                        </w14:solidFill>
                      </w14:textFill>
                    </w:rPr>
                    <w:t>方位</w:t>
                  </w:r>
                </w:p>
              </w:tc>
              <w:tc>
                <w:tcPr>
                  <w:tcW w:w="469"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ascii="Times New Roman" w:hAnsi="Times New Roman" w:cs="Calibri"/>
                      <w:color w:val="000000" w:themeColor="text1"/>
                      <w:spacing w:val="0"/>
                      <w:position w:val="0"/>
                      <w:szCs w:val="21"/>
                      <w14:textFill>
                        <w14:solidFill>
                          <w14:schemeClr w14:val="tx1"/>
                        </w14:solidFill>
                      </w14:textFill>
                    </w:rPr>
                    <w:t>距离</w:t>
                  </w:r>
                </w:p>
              </w:tc>
              <w:tc>
                <w:tcPr>
                  <w:tcW w:w="661"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性质</w:t>
                  </w:r>
                </w:p>
              </w:tc>
              <w:tc>
                <w:tcPr>
                  <w:tcW w:w="595"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ascii="Times New Roman" w:hAnsi="Times New Roman" w:cs="Calibri"/>
                      <w:color w:val="000000" w:themeColor="text1"/>
                      <w:spacing w:val="0"/>
                      <w:position w:val="0"/>
                      <w:szCs w:val="21"/>
                      <w14:textFill>
                        <w14:solidFill>
                          <w14:schemeClr w14:val="tx1"/>
                        </w14:solidFill>
                      </w14:textFill>
                    </w:rPr>
                    <w:t>规模</w:t>
                  </w:r>
                </w:p>
              </w:tc>
              <w:tc>
                <w:tcPr>
                  <w:tcW w:w="1465" w:type="pct"/>
                  <w:tcBorders>
                    <w:tl2br w:val="nil"/>
                    <w:tr2bl w:val="nil"/>
                  </w:tcBorders>
                  <w:noWrap w:val="0"/>
                  <w:vAlign w:val="center"/>
                </w:tcPr>
                <w:p>
                  <w:pPr>
                    <w:keepLines w:val="0"/>
                    <w:pageBreakBefore w:val="0"/>
                    <w:kinsoku/>
                    <w:wordWrap w:val="0"/>
                    <w:topLinePunct w:val="0"/>
                    <w:bidi w:val="0"/>
                    <w:jc w:val="center"/>
                    <w:rPr>
                      <w:rFonts w:hint="eastAsia" w:ascii="Times New Roman" w:hAnsi="Times New Roman" w:eastAsia="宋体" w:cs="Calibri"/>
                      <w:color w:val="000000" w:themeColor="text1"/>
                      <w:spacing w:val="0"/>
                      <w:position w:val="0"/>
                      <w:szCs w:val="21"/>
                      <w:lang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保护级别</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restar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ascii="Times New Roman" w:hAnsi="Times New Roman" w:cs="Calibri"/>
                      <w:color w:val="000000" w:themeColor="text1"/>
                      <w:spacing w:val="0"/>
                      <w:position w:val="0"/>
                      <w:szCs w:val="21"/>
                      <w14:textFill>
                        <w14:solidFill>
                          <w14:schemeClr w14:val="tx1"/>
                        </w14:solidFill>
                      </w14:textFill>
                    </w:rPr>
                    <w:t>大气环境</w:t>
                  </w:r>
                </w:p>
              </w:tc>
              <w:tc>
                <w:tcPr>
                  <w:tcW w:w="690"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十里铺村</w:t>
                  </w:r>
                </w:p>
              </w:tc>
              <w:tc>
                <w:tcPr>
                  <w:tcW w:w="441" w:type="pct"/>
                  <w:tcBorders>
                    <w:tl2br w:val="nil"/>
                    <w:tr2bl w:val="nil"/>
                  </w:tcBorders>
                  <w:noWrap w:val="0"/>
                  <w:vAlign w:val="center"/>
                </w:tcPr>
                <w:p>
                  <w:pPr>
                    <w:keepLines w:val="0"/>
                    <w:pageBreakBefore w:val="0"/>
                    <w:kinsoku/>
                    <w:wordWrap w:val="0"/>
                    <w:topLinePunct w:val="0"/>
                    <w:bidi w:val="0"/>
                    <w:jc w:val="center"/>
                    <w:rPr>
                      <w:rFonts w:hint="eastAsia" w:ascii="Times New Roman" w:hAnsi="Times New Roman" w:eastAsia="宋体" w:cs="Calibri"/>
                      <w:color w:val="000000" w:themeColor="text1"/>
                      <w:spacing w:val="0"/>
                      <w:position w:val="0"/>
                      <w:szCs w:val="21"/>
                      <w:lang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NE</w:t>
                  </w:r>
                </w:p>
              </w:tc>
              <w:tc>
                <w:tcPr>
                  <w:tcW w:w="469"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238</w:t>
                  </w:r>
                  <w:r>
                    <w:rPr>
                      <w:rFonts w:ascii="Times New Roman" w:hAnsi="Times New Roman" w:cs="Calibri"/>
                      <w:color w:val="000000" w:themeColor="text1"/>
                      <w:spacing w:val="0"/>
                      <w:position w:val="0"/>
                      <w:szCs w:val="21"/>
                      <w14:textFill>
                        <w14:solidFill>
                          <w14:schemeClr w14:val="tx1"/>
                        </w14:solidFill>
                      </w14:textFill>
                    </w:rPr>
                    <w:t>m</w:t>
                  </w:r>
                </w:p>
              </w:tc>
              <w:tc>
                <w:tcPr>
                  <w:tcW w:w="661" w:type="pct"/>
                  <w:tcBorders>
                    <w:tl2br w:val="nil"/>
                    <w:tr2bl w:val="nil"/>
                  </w:tcBorders>
                  <w:noWrap w:val="0"/>
                  <w:vAlign w:val="center"/>
                </w:tcPr>
                <w:p>
                  <w:pPr>
                    <w:keepLines w:val="0"/>
                    <w:pageBreakBefore w:val="0"/>
                    <w:kinsoku/>
                    <w:wordWrap w:val="0"/>
                    <w:topLinePunct w:val="0"/>
                    <w:bidi w:val="0"/>
                    <w:jc w:val="center"/>
                    <w:rPr>
                      <w:rFonts w:hint="eastAsia" w:ascii="Times New Roman" w:hAnsi="Times New Roman" w:eastAsia="宋体"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村庄</w:t>
                  </w:r>
                </w:p>
              </w:tc>
              <w:tc>
                <w:tcPr>
                  <w:tcW w:w="595"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600</w:t>
                  </w:r>
                  <w:r>
                    <w:rPr>
                      <w:rFonts w:ascii="Times New Roman" w:hAnsi="Times New Roman" w:cs="Calibri"/>
                      <w:color w:val="000000" w:themeColor="text1"/>
                      <w:spacing w:val="0"/>
                      <w:position w:val="0"/>
                      <w:szCs w:val="21"/>
                      <w14:textFill>
                        <w14:solidFill>
                          <w14:schemeClr w14:val="tx1"/>
                        </w14:solidFill>
                      </w14:textFill>
                    </w:rPr>
                    <w:t>人</w:t>
                  </w:r>
                </w:p>
              </w:tc>
              <w:tc>
                <w:tcPr>
                  <w:tcW w:w="1465" w:type="pct"/>
                  <w:vMerge w:val="restar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ascii="Times New Roman" w:hAnsi="Times New Roman" w:cs="Calibri"/>
                      <w:color w:val="000000" w:themeColor="text1"/>
                      <w:spacing w:val="0"/>
                      <w:position w:val="0"/>
                      <w:szCs w:val="21"/>
                      <w14:textFill>
                        <w14:solidFill>
                          <w14:schemeClr w14:val="tx1"/>
                        </w14:solidFill>
                      </w14:textFill>
                    </w:rPr>
                    <w:t>《环境空气质量标准》（GB3095</w:t>
                  </w:r>
                  <w:r>
                    <w:rPr>
                      <w:rFonts w:hint="eastAsia" w:ascii="Times New Roman" w:hAnsi="Times New Roman" w:cs="Calibri"/>
                      <w:color w:val="000000" w:themeColor="text1"/>
                      <w:spacing w:val="0"/>
                      <w:position w:val="0"/>
                      <w:szCs w:val="21"/>
                      <w14:textFill>
                        <w14:solidFill>
                          <w14:schemeClr w14:val="tx1"/>
                        </w14:solidFill>
                      </w14:textFill>
                    </w:rPr>
                    <w:t>-</w:t>
                  </w:r>
                  <w:r>
                    <w:rPr>
                      <w:rFonts w:ascii="Times New Roman" w:hAnsi="Times New Roman" w:cs="Calibri"/>
                      <w:color w:val="000000" w:themeColor="text1"/>
                      <w:spacing w:val="0"/>
                      <w:position w:val="0"/>
                      <w:szCs w:val="21"/>
                      <w14:textFill>
                        <w14:solidFill>
                          <w14:schemeClr w14:val="tx1"/>
                        </w14:solidFill>
                      </w14:textFill>
                    </w:rPr>
                    <w:t>2012）二级</w:t>
                  </w: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p>
              </w:tc>
              <w:tc>
                <w:tcPr>
                  <w:tcW w:w="690" w:type="pct"/>
                  <w:tcBorders>
                    <w:tl2br w:val="nil"/>
                    <w:tr2bl w:val="nil"/>
                  </w:tcBorders>
                  <w:noWrap w:val="0"/>
                  <w:vAlign w:val="center"/>
                </w:tcPr>
                <w:p>
                  <w:pPr>
                    <w:keepLines w:val="0"/>
                    <w:pageBreakBefore w:val="0"/>
                    <w:kinsoku/>
                    <w:wordWrap w:val="0"/>
                    <w:topLinePunct w:val="0"/>
                    <w:bidi w:val="0"/>
                    <w:jc w:val="center"/>
                    <w:rPr>
                      <w:rFonts w:hint="eastAsia" w:ascii="Times New Roman" w:hAnsi="Times New Roman" w:eastAsia="宋体" w:cs="Calibri"/>
                      <w:color w:val="000000" w:themeColor="text1"/>
                      <w:spacing w:val="0"/>
                      <w:position w:val="0"/>
                      <w:szCs w:val="21"/>
                      <w:lang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杨庄</w:t>
                  </w:r>
                </w:p>
              </w:tc>
              <w:tc>
                <w:tcPr>
                  <w:tcW w:w="441"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eastAsia="宋体"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NW</w:t>
                  </w:r>
                </w:p>
              </w:tc>
              <w:tc>
                <w:tcPr>
                  <w:tcW w:w="469"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480</w:t>
                  </w:r>
                  <w:r>
                    <w:rPr>
                      <w:rFonts w:hint="eastAsia" w:ascii="Times New Roman" w:hAnsi="Times New Roman" w:cs="Calibri"/>
                      <w:color w:val="000000" w:themeColor="text1"/>
                      <w:spacing w:val="0"/>
                      <w:position w:val="0"/>
                      <w:szCs w:val="21"/>
                      <w14:textFill>
                        <w14:solidFill>
                          <w14:schemeClr w14:val="tx1"/>
                        </w14:solidFill>
                      </w14:textFill>
                    </w:rPr>
                    <w:t>m</w:t>
                  </w:r>
                </w:p>
              </w:tc>
              <w:tc>
                <w:tcPr>
                  <w:tcW w:w="661" w:type="pct"/>
                  <w:tcBorders>
                    <w:tl2br w:val="nil"/>
                    <w:tr2bl w:val="nil"/>
                  </w:tcBorders>
                  <w:noWrap w:val="0"/>
                  <w:vAlign w:val="center"/>
                </w:tcPr>
                <w:p>
                  <w:pPr>
                    <w:keepLines w:val="0"/>
                    <w:pageBreakBefore w:val="0"/>
                    <w:kinsoku/>
                    <w:wordWrap w:val="0"/>
                    <w:topLinePunct w:val="0"/>
                    <w:bidi w:val="0"/>
                    <w:jc w:val="center"/>
                    <w:rPr>
                      <w:rFonts w:hint="eastAsia" w:ascii="Times New Roman" w:hAnsi="Times New Roman" w:eastAsia="宋体"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村庄</w:t>
                  </w:r>
                </w:p>
              </w:tc>
              <w:tc>
                <w:tcPr>
                  <w:tcW w:w="595" w:type="pct"/>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360</w:t>
                  </w:r>
                  <w:r>
                    <w:rPr>
                      <w:rFonts w:hint="eastAsia" w:ascii="Times New Roman" w:hAnsi="Times New Roman" w:cs="Calibri"/>
                      <w:color w:val="000000" w:themeColor="text1"/>
                      <w:spacing w:val="0"/>
                      <w:position w:val="0"/>
                      <w:szCs w:val="21"/>
                      <w14:textFill>
                        <w14:solidFill>
                          <w14:schemeClr w14:val="tx1"/>
                        </w14:solidFill>
                      </w14:textFill>
                    </w:rPr>
                    <w:t>人</w:t>
                  </w:r>
                </w:p>
              </w:tc>
              <w:tc>
                <w:tcPr>
                  <w:tcW w:w="1465" w:type="pct"/>
                  <w:vMerge w:val="continue"/>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p>
              </w:tc>
            </w:tr>
            <w:tr>
              <w:tblPrEx>
                <w:tblBorders>
                  <w:top w:val="single" w:color="000000" w:sz="12" w:space="0"/>
                  <w:left w:val="none" w:color="auto" w:sz="0" w:space="0"/>
                  <w:bottom w:val="single" w:color="000000" w:sz="12" w:space="0"/>
                  <w:right w:val="none" w:color="auto" w:sz="0" w:space="0"/>
                  <w:insideH w:val="single" w:color="000000" w:sz="4" w:space="0"/>
                  <w:insideV w:val="single" w:color="000000" w:sz="4" w:space="0"/>
                </w:tblBorders>
                <w:tblCellMar>
                  <w:top w:w="0" w:type="dxa"/>
                  <w:left w:w="108" w:type="dxa"/>
                  <w:bottom w:w="0" w:type="dxa"/>
                  <w:right w:w="108" w:type="dxa"/>
                </w:tblCellMar>
              </w:tblPrEx>
              <w:trPr>
                <w:trHeight w:val="340" w:hRule="atLeast"/>
                <w:jc w:val="center"/>
              </w:trPr>
              <w:tc>
                <w:tcPr>
                  <w:tcW w:w="676" w:type="pct"/>
                  <w:vMerge w:val="continue"/>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p>
              </w:tc>
              <w:tc>
                <w:tcPr>
                  <w:tcW w:w="690"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湛北乡政府</w:t>
                  </w:r>
                </w:p>
              </w:tc>
              <w:tc>
                <w:tcPr>
                  <w:tcW w:w="441"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S</w:t>
                  </w:r>
                </w:p>
              </w:tc>
              <w:tc>
                <w:tcPr>
                  <w:tcW w:w="469"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481m</w:t>
                  </w:r>
                </w:p>
              </w:tc>
              <w:tc>
                <w:tcPr>
                  <w:tcW w:w="661"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机关单位</w:t>
                  </w:r>
                </w:p>
              </w:tc>
              <w:tc>
                <w:tcPr>
                  <w:tcW w:w="595" w:type="pct"/>
                  <w:tcBorders>
                    <w:tl2br w:val="nil"/>
                    <w:tr2bl w:val="nil"/>
                  </w:tcBorders>
                  <w:noWrap w:val="0"/>
                  <w:vAlign w:val="center"/>
                </w:tcPr>
                <w:p>
                  <w:pPr>
                    <w:keepLines w:val="0"/>
                    <w:pageBreakBefore w:val="0"/>
                    <w:kinsoku/>
                    <w:wordWrap w:val="0"/>
                    <w:topLinePunct w:val="0"/>
                    <w:bidi w:val="0"/>
                    <w:jc w:val="center"/>
                    <w:rPr>
                      <w:rFonts w:hint="default" w:ascii="Times New Roman" w:hAnsi="Times New Roman" w:cs="Calibri"/>
                      <w:color w:val="000000" w:themeColor="text1"/>
                      <w:spacing w:val="0"/>
                      <w:position w:val="0"/>
                      <w:szCs w:val="21"/>
                      <w:lang w:val="en-US" w:eastAsia="zh-CN"/>
                      <w14:textFill>
                        <w14:solidFill>
                          <w14:schemeClr w14:val="tx1"/>
                        </w14:solidFill>
                      </w14:textFill>
                    </w:rPr>
                  </w:pPr>
                  <w:r>
                    <w:rPr>
                      <w:rFonts w:hint="eastAsia" w:ascii="Times New Roman" w:hAnsi="Times New Roman" w:cs="Calibri"/>
                      <w:color w:val="000000" w:themeColor="text1"/>
                      <w:spacing w:val="0"/>
                      <w:position w:val="0"/>
                      <w:szCs w:val="21"/>
                      <w:lang w:val="en-US" w:eastAsia="zh-CN"/>
                      <w14:textFill>
                        <w14:solidFill>
                          <w14:schemeClr w14:val="tx1"/>
                        </w14:solidFill>
                      </w14:textFill>
                    </w:rPr>
                    <w:t>60人</w:t>
                  </w:r>
                </w:p>
              </w:tc>
              <w:tc>
                <w:tcPr>
                  <w:tcW w:w="1465" w:type="pct"/>
                  <w:vMerge w:val="continue"/>
                  <w:tcBorders>
                    <w:tl2br w:val="nil"/>
                    <w:tr2bl w:val="nil"/>
                  </w:tcBorders>
                  <w:noWrap w:val="0"/>
                  <w:vAlign w:val="center"/>
                </w:tcPr>
                <w:p>
                  <w:pPr>
                    <w:keepLines w:val="0"/>
                    <w:pageBreakBefore w:val="0"/>
                    <w:kinsoku/>
                    <w:wordWrap w:val="0"/>
                    <w:topLinePunct w:val="0"/>
                    <w:bidi w:val="0"/>
                    <w:jc w:val="center"/>
                    <w:rPr>
                      <w:rFonts w:ascii="Times New Roman" w:hAnsi="Times New Roman" w:cs="Calibri"/>
                      <w:color w:val="000000" w:themeColor="text1"/>
                      <w:spacing w:val="0"/>
                      <w:position w:val="0"/>
                      <w:szCs w:val="21"/>
                      <w14:textFill>
                        <w14:solidFill>
                          <w14:schemeClr w14:val="tx1"/>
                        </w14:solidFill>
                      </w14:textFill>
                    </w:rPr>
                  </w:pPr>
                </w:p>
              </w:tc>
            </w:tr>
          </w:tbl>
          <w:p>
            <w:pPr>
              <w:keepLines w:val="0"/>
              <w:pageBreakBefore w:val="0"/>
              <w:kinsoku/>
              <w:wordWrap w:val="0"/>
              <w:topLinePunct w:val="0"/>
              <w:bidi w:val="0"/>
              <w:adjustRightInd w:val="0"/>
              <w:snapToGrid w:val="0"/>
              <w:rPr>
                <w:rFonts w:hint="eastAsia" w:ascii="Times New Roman" w:hAnsi="Times New Roman" w:cs="宋体"/>
                <w:color w:val="000000" w:themeColor="text1"/>
                <w:spacing w:val="0"/>
                <w:kern w:val="0"/>
                <w:position w:val="0"/>
                <w:szCs w:val="21"/>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645" w:hRule="atLeast"/>
          <w:jc w:val="center"/>
        </w:trPr>
        <w:tc>
          <w:tcPr>
            <w:tcW w:w="800" w:type="dxa"/>
            <w:noWrap w:val="0"/>
            <w:tcMar>
              <w:left w:w="28" w:type="dxa"/>
              <w:right w:w="28" w:type="dxa"/>
            </w:tcMar>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污染</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物排</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放控</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制标</w:t>
            </w:r>
          </w:p>
          <w:p>
            <w:pPr>
              <w:keepLines w:val="0"/>
              <w:pageBreakBefore w:val="0"/>
              <w:kinsoku/>
              <w:wordWrap w:val="0"/>
              <w:topLinePunct w:val="0"/>
              <w:bidi w:val="0"/>
              <w:adjustRightInd w:val="0"/>
              <w:snapToGrid w:val="0"/>
              <w:jc w:val="center"/>
              <w:rPr>
                <w:rFonts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准</w:t>
            </w:r>
          </w:p>
        </w:tc>
        <w:tc>
          <w:tcPr>
            <w:tcW w:w="8190"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pacing w:val="0"/>
                <w:kern w:val="0"/>
                <w:position w:val="0"/>
                <w:sz w:val="24"/>
                <w:lang w:val="en-US" w:eastAsia="zh-CN"/>
                <w14:textFill>
                  <w14:solidFill>
                    <w14:schemeClr w14:val="tx1"/>
                  </w14:solidFill>
                </w14:textFill>
              </w:rPr>
            </w:pPr>
            <w:r>
              <w:rPr>
                <w:rFonts w:hint="default"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表3-</w:t>
            </w:r>
            <w:r>
              <w:rPr>
                <w:rFonts w:hint="eastAsia"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8</w:t>
            </w:r>
            <w:r>
              <w:rPr>
                <w:rFonts w:hint="default"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 xml:space="preserve">  项目</w:t>
            </w:r>
            <w:r>
              <w:rPr>
                <w:rFonts w:hint="eastAsia"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污染物排放执行标准</w:t>
            </w:r>
            <w:r>
              <w:rPr>
                <w:rFonts w:hint="default" w:ascii="Times New Roman" w:hAnsi="Times New Roman" w:eastAsia="宋体" w:cs="Times New Roman"/>
                <w:b/>
                <w:bCs/>
                <w:color w:val="000000" w:themeColor="text1"/>
                <w:spacing w:val="0"/>
                <w:kern w:val="0"/>
                <w:position w:val="0"/>
                <w:sz w:val="21"/>
                <w:szCs w:val="21"/>
                <w:lang w:val="en-US" w:eastAsia="zh-CN"/>
                <w14:textFill>
                  <w14:solidFill>
                    <w14:schemeClr w14:val="tx1"/>
                  </w14:solidFill>
                </w14:textFill>
              </w:rPr>
              <w:t>一览表</w:t>
            </w:r>
          </w:p>
          <w:tbl>
            <w:tblPr>
              <w:tblStyle w:val="18"/>
              <w:tblW w:w="5000" w:type="pct"/>
              <w:tblInd w:w="0" w:type="dxa"/>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Layout w:type="autofit"/>
              <w:tblCellMar>
                <w:top w:w="0" w:type="dxa"/>
                <w:left w:w="108" w:type="dxa"/>
                <w:bottom w:w="0" w:type="dxa"/>
                <w:right w:w="108" w:type="dxa"/>
              </w:tblCellMar>
            </w:tblPr>
            <w:tblGrid>
              <w:gridCol w:w="2961"/>
              <w:gridCol w:w="1393"/>
              <w:gridCol w:w="876"/>
              <w:gridCol w:w="254"/>
              <w:gridCol w:w="1080"/>
              <w:gridCol w:w="1410"/>
            </w:tblGrid>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tcBorders>
                    <w:top w:val="single" w:color="auto" w:sz="12" w:space="0"/>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标准名称与级（类）别</w:t>
                  </w:r>
                </w:p>
              </w:tc>
              <w:tc>
                <w:tcPr>
                  <w:tcW w:w="3142" w:type="pct"/>
                  <w:gridSpan w:val="5"/>
                  <w:tcBorders>
                    <w:top w:val="single" w:color="auto" w:sz="12" w:space="0"/>
                    <w:righ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项     目</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restart"/>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《工业企业厂界环境噪声排放标准》</w:t>
                  </w:r>
                  <w:r>
                    <w:rPr>
                      <w:rFonts w:hint="eastAsia" w:ascii="Times New Roman" w:hAnsi="Times New Roman"/>
                      <w:color w:val="000000" w:themeColor="text1"/>
                      <w:spacing w:val="0"/>
                      <w:position w:val="0"/>
                      <w:szCs w:val="21"/>
                      <w14:textFill>
                        <w14:solidFill>
                          <w14:schemeClr w14:val="tx1"/>
                        </w14:solidFill>
                      </w14:textFill>
                    </w:rPr>
                    <w:t>（</w:t>
                  </w:r>
                  <w:r>
                    <w:rPr>
                      <w:rFonts w:ascii="Times New Roman" w:hAnsi="Times New Roman"/>
                      <w:color w:val="000000" w:themeColor="text1"/>
                      <w:spacing w:val="0"/>
                      <w:position w:val="0"/>
                      <w:szCs w:val="21"/>
                      <w14:textFill>
                        <w14:solidFill>
                          <w14:schemeClr w14:val="tx1"/>
                        </w14:solidFill>
                      </w14:textFill>
                    </w:rPr>
                    <w:t>GB12348-2008</w:t>
                  </w:r>
                  <w:r>
                    <w:rPr>
                      <w:rFonts w:hint="eastAsia" w:ascii="Times New Roman" w:hAnsi="Times New Roman"/>
                      <w:color w:val="000000" w:themeColor="text1"/>
                      <w:spacing w:val="0"/>
                      <w:position w:val="0"/>
                      <w:szCs w:val="21"/>
                      <w14:textFill>
                        <w14:solidFill>
                          <w14:schemeClr w14:val="tx1"/>
                        </w14:solidFill>
                      </w14:textFill>
                    </w:rPr>
                    <w:t>）</w:t>
                  </w:r>
                  <w:r>
                    <w:rPr>
                      <w:rFonts w:ascii="Times New Roman" w:hAnsi="Times New Roman"/>
                      <w:color w:val="000000" w:themeColor="text1"/>
                      <w:spacing w:val="0"/>
                      <w:position w:val="0"/>
                      <w:szCs w:val="21"/>
                      <w14:textFill>
                        <w14:solidFill>
                          <w14:schemeClr w14:val="tx1"/>
                        </w14:solidFill>
                      </w14:textFill>
                    </w:rPr>
                    <w:t>2类</w:t>
                  </w:r>
                  <w:r>
                    <w:rPr>
                      <w:rFonts w:hint="eastAsia" w:ascii="Times New Roman" w:hAnsi="Times New Roman"/>
                      <w:color w:val="000000" w:themeColor="text1"/>
                      <w:spacing w:val="0"/>
                      <w:position w:val="0"/>
                      <w:szCs w:val="21"/>
                      <w14:textFill>
                        <w14:solidFill>
                          <w14:schemeClr w14:val="tx1"/>
                        </w14:solidFill>
                      </w14:textFill>
                    </w:rPr>
                    <w:t>标准</w:t>
                  </w:r>
                </w:p>
              </w:tc>
              <w:tc>
                <w:tcPr>
                  <w:tcW w:w="1582" w:type="pct"/>
                  <w:gridSpan w:val="3"/>
                  <w:tcBorders>
                    <w:bottom w:val="single" w:color="auto" w:sz="4" w:space="0"/>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昼间[dB（A）]</w:t>
                  </w:r>
                </w:p>
              </w:tc>
              <w:tc>
                <w:tcPr>
                  <w:tcW w:w="1560" w:type="pct"/>
                  <w:gridSpan w:val="2"/>
                  <w:tcBorders>
                    <w:bottom w:val="single" w:color="auto" w:sz="4" w:space="0"/>
                    <w:righ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夜间[dB（A）]</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1582" w:type="pct"/>
                  <w:gridSpan w:val="3"/>
                  <w:tcBorders>
                    <w:top w:val="nil"/>
                    <w:right w:val="single" w:color="auto" w:sz="4" w:space="0"/>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60</w:t>
                  </w:r>
                </w:p>
              </w:tc>
              <w:tc>
                <w:tcPr>
                  <w:tcW w:w="1560" w:type="pct"/>
                  <w:gridSpan w:val="2"/>
                  <w:tcBorders>
                    <w:top w:val="nil"/>
                    <w:left w:val="single" w:color="auto" w:sz="4" w:space="0"/>
                    <w:righ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50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restart"/>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《大气污染物综合排放标准》（GB16297-1996）表2二级标准</w:t>
                  </w:r>
                </w:p>
              </w:tc>
              <w:tc>
                <w:tcPr>
                  <w:tcW w:w="874" w:type="pct"/>
                  <w:tcBorders>
                    <w:bottom w:val="single" w:color="auto" w:sz="4" w:space="0"/>
                    <w:right w:val="single" w:color="auto" w:sz="2" w:space="0"/>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污染</w:t>
                  </w:r>
                </w:p>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因子</w:t>
                  </w:r>
                </w:p>
              </w:tc>
              <w:tc>
                <w:tcPr>
                  <w:tcW w:w="708" w:type="pct"/>
                  <w:gridSpan w:val="2"/>
                  <w:tcBorders>
                    <w:left w:val="single" w:color="auto" w:sz="2" w:space="0"/>
                    <w:bottom w:val="single" w:color="auto" w:sz="2" w:space="0"/>
                    <w:right w:val="single" w:color="auto" w:sz="2" w:space="0"/>
                  </w:tcBorders>
                  <w:noWrap w:val="0"/>
                  <w:vAlign w:val="center"/>
                </w:tcPr>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最高允许排放浓度（</w:t>
                  </w:r>
                  <w:r>
                    <w:rPr>
                      <w:rFonts w:ascii="Times New Roman" w:hAnsi="Times New Roman"/>
                      <w:color w:val="000000" w:themeColor="text1"/>
                      <w:spacing w:val="0"/>
                      <w:position w:val="0"/>
                      <w:szCs w:val="21"/>
                      <w14:textFill>
                        <w14:solidFill>
                          <w14:schemeClr w14:val="tx1"/>
                        </w14:solidFill>
                      </w14:textFill>
                    </w:rPr>
                    <w:t>mg/m</w:t>
                  </w:r>
                  <w:r>
                    <w:rPr>
                      <w:rFonts w:ascii="Times New Roman" w:hAnsi="Times New Roman"/>
                      <w:color w:val="000000" w:themeColor="text1"/>
                      <w:spacing w:val="0"/>
                      <w:position w:val="0"/>
                      <w:szCs w:val="21"/>
                      <w:vertAlign w:val="superscript"/>
                      <w14:textFill>
                        <w14:solidFill>
                          <w14:schemeClr w14:val="tx1"/>
                        </w14:solidFill>
                      </w14:textFill>
                    </w:rPr>
                    <w:t>3</w:t>
                  </w:r>
                  <w:r>
                    <w:rPr>
                      <w:rFonts w:hint="eastAsia" w:ascii="Times New Roman" w:hAnsi="Times New Roman"/>
                      <w:color w:val="000000" w:themeColor="text1"/>
                      <w:spacing w:val="0"/>
                      <w:position w:val="0"/>
                      <w:szCs w:val="21"/>
                      <w14:textFill>
                        <w14:solidFill>
                          <w14:schemeClr w14:val="tx1"/>
                        </w14:solidFill>
                      </w14:textFill>
                    </w:rPr>
                    <w:t>）</w:t>
                  </w:r>
                </w:p>
              </w:tc>
              <w:tc>
                <w:tcPr>
                  <w:tcW w:w="1560" w:type="pct"/>
                  <w:gridSpan w:val="2"/>
                  <w:tcBorders>
                    <w:left w:val="single" w:color="auto" w:sz="2" w:space="0"/>
                    <w:bottom w:val="single" w:color="auto" w:sz="2" w:space="0"/>
                    <w:right w:val="nil"/>
                  </w:tcBorders>
                  <w:noWrap w:val="0"/>
                  <w:vAlign w:val="center"/>
                </w:tcPr>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1</w:t>
                  </w:r>
                  <w:r>
                    <w:rPr>
                      <w:rFonts w:ascii="Times New Roman" w:hAnsi="Times New Roman"/>
                      <w:color w:val="000000" w:themeColor="text1"/>
                      <w:spacing w:val="0"/>
                      <w:position w:val="0"/>
                      <w:szCs w:val="21"/>
                      <w14:textFill>
                        <w14:solidFill>
                          <w14:schemeClr w14:val="tx1"/>
                        </w14:solidFill>
                      </w14:textFill>
                    </w:rPr>
                    <w:t>5</w:t>
                  </w:r>
                  <w:r>
                    <w:rPr>
                      <w:rFonts w:hint="eastAsia" w:ascii="Times New Roman" w:hAnsi="Times New Roman"/>
                      <w:color w:val="000000" w:themeColor="text1"/>
                      <w:spacing w:val="0"/>
                      <w:position w:val="0"/>
                      <w:szCs w:val="21"/>
                      <w14:textFill>
                        <w14:solidFill>
                          <w14:schemeClr w14:val="tx1"/>
                        </w14:solidFill>
                      </w14:textFill>
                    </w:rPr>
                    <w:t>m高排气筒</w:t>
                  </w:r>
                </w:p>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最高允许排放速率（kg/h）</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tcBorders>
                    <w:top w:val="single" w:color="auto" w:sz="4" w:space="0"/>
                    <w:bottom w:val="single" w:color="auto" w:sz="4" w:space="0"/>
                    <w:right w:val="single" w:color="auto" w:sz="2" w:space="0"/>
                  </w:tcBorders>
                  <w:noWrap w:val="0"/>
                  <w:vAlign w:val="center"/>
                </w:tcPr>
                <w:p>
                  <w:pPr>
                    <w:keepLines w:val="0"/>
                    <w:pageBreakBefore w:val="0"/>
                    <w:kinsoku/>
                    <w:wordWrap w:val="0"/>
                    <w:topLinePunct w:val="0"/>
                    <w:bidi w:val="0"/>
                    <w:ind w:right="-51"/>
                    <w:jc w:val="center"/>
                    <w:rPr>
                      <w:rFonts w:hint="eastAsia" w:ascii="Times New Roman" w:hAnsi="Times New Roman" w:eastAsia="宋体"/>
                      <w:color w:val="000000" w:themeColor="text1"/>
                      <w:spacing w:val="0"/>
                      <w:position w:val="0"/>
                      <w:szCs w:val="21"/>
                      <w:lang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硫酸雾</w:t>
                  </w:r>
                </w:p>
              </w:tc>
              <w:tc>
                <w:tcPr>
                  <w:tcW w:w="708" w:type="pct"/>
                  <w:gridSpan w:val="2"/>
                  <w:tcBorders>
                    <w:top w:val="single" w:color="auto" w:sz="2" w:space="0"/>
                    <w:left w:val="single" w:color="auto" w:sz="2" w:space="0"/>
                    <w:bottom w:val="single" w:color="auto" w:sz="4" w:space="0"/>
                    <w:right w:val="single" w:color="auto" w:sz="2" w:space="0"/>
                  </w:tcBorders>
                  <w:noWrap w:val="0"/>
                  <w:vAlign w:val="center"/>
                </w:tcPr>
                <w:p>
                  <w:pPr>
                    <w:keepLines w:val="0"/>
                    <w:pageBreakBefore w:val="0"/>
                    <w:kinsoku/>
                    <w:wordWrap w:val="0"/>
                    <w:topLinePunct w:val="0"/>
                    <w:bidi w:val="0"/>
                    <w:ind w:right="-51"/>
                    <w:jc w:val="center"/>
                    <w:rPr>
                      <w:rFonts w:hint="default" w:ascii="Times New Roman" w:hAnsi="Times New Roman" w:eastAsia="宋体"/>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45</w:t>
                  </w:r>
                </w:p>
              </w:tc>
              <w:tc>
                <w:tcPr>
                  <w:tcW w:w="1560" w:type="pct"/>
                  <w:gridSpan w:val="2"/>
                  <w:tcBorders>
                    <w:top w:val="single" w:color="auto" w:sz="2" w:space="0"/>
                    <w:left w:val="single" w:color="auto" w:sz="2" w:space="0"/>
                    <w:right w:val="nil"/>
                  </w:tcBorders>
                  <w:noWrap w:val="0"/>
                  <w:vAlign w:val="center"/>
                </w:tcPr>
                <w:p>
                  <w:pPr>
                    <w:keepLines w:val="0"/>
                    <w:pageBreakBefore w:val="0"/>
                    <w:kinsoku/>
                    <w:wordWrap w:val="0"/>
                    <w:topLinePunct w:val="0"/>
                    <w:bidi w:val="0"/>
                    <w:ind w:right="-51"/>
                    <w:jc w:val="center"/>
                    <w:rPr>
                      <w:rFonts w:hint="default" w:ascii="Times New Roman" w:hAnsi="Times New Roman" w:eastAsia="宋体"/>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1.5</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tcBorders>
                    <w:top w:val="single" w:color="auto" w:sz="4" w:space="0"/>
                    <w:bottom w:val="single" w:color="auto" w:sz="4" w:space="0"/>
                    <w:right w:val="single" w:color="auto" w:sz="2" w:space="0"/>
                  </w:tcBorders>
                  <w:noWrap w:val="0"/>
                  <w:vAlign w:val="center"/>
                </w:tcPr>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非甲烷总烃</w:t>
                  </w:r>
                </w:p>
              </w:tc>
              <w:tc>
                <w:tcPr>
                  <w:tcW w:w="708" w:type="pct"/>
                  <w:gridSpan w:val="2"/>
                  <w:tcBorders>
                    <w:top w:val="single" w:color="auto" w:sz="2" w:space="0"/>
                    <w:left w:val="single" w:color="auto" w:sz="2" w:space="0"/>
                    <w:bottom w:val="single" w:color="auto" w:sz="4" w:space="0"/>
                    <w:right w:val="single" w:color="auto" w:sz="2" w:space="0"/>
                  </w:tcBorders>
                  <w:noWrap w:val="0"/>
                  <w:vAlign w:val="center"/>
                </w:tcPr>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120</w:t>
                  </w:r>
                </w:p>
              </w:tc>
              <w:tc>
                <w:tcPr>
                  <w:tcW w:w="1560" w:type="pct"/>
                  <w:gridSpan w:val="2"/>
                  <w:tcBorders>
                    <w:top w:val="single" w:color="auto" w:sz="2" w:space="0"/>
                    <w:left w:val="single" w:color="auto" w:sz="2" w:space="0"/>
                    <w:right w:val="nil"/>
                  </w:tcBorders>
                  <w:noWrap w:val="0"/>
                  <w:vAlign w:val="center"/>
                </w:tcPr>
                <w:p>
                  <w:pPr>
                    <w:keepLines w:val="0"/>
                    <w:pageBreakBefore w:val="0"/>
                    <w:kinsoku/>
                    <w:wordWrap w:val="0"/>
                    <w:topLinePunct w:val="0"/>
                    <w:bidi w:val="0"/>
                    <w:ind w:right="-51"/>
                    <w:jc w:val="center"/>
                    <w:rPr>
                      <w:rFonts w:hint="default" w:ascii="Times New Roman" w:hAnsi="Times New Roman" w:eastAsia="宋体"/>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10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3142" w:type="pct"/>
                  <w:gridSpan w:val="5"/>
                  <w:tcBorders>
                    <w:top w:val="single" w:color="auto" w:sz="4" w:space="0"/>
                    <w:bottom w:val="single" w:color="auto" w:sz="4" w:space="0"/>
                    <w:right w:val="single" w:color="auto" w:sz="2" w:space="0"/>
                  </w:tcBorders>
                  <w:noWrap w:val="0"/>
                  <w:vAlign w:val="center"/>
                </w:tcPr>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无组织排放监控浓度限值（</w:t>
                  </w:r>
                  <w:r>
                    <w:rPr>
                      <w:rFonts w:ascii="Times New Roman" w:hAnsi="Times New Roman"/>
                      <w:color w:val="000000" w:themeColor="text1"/>
                      <w:spacing w:val="0"/>
                      <w:position w:val="0"/>
                      <w:szCs w:val="21"/>
                      <w14:textFill>
                        <w14:solidFill>
                          <w14:schemeClr w14:val="tx1"/>
                        </w14:solidFill>
                      </w14:textFill>
                    </w:rPr>
                    <w:t>mg/m</w:t>
                  </w:r>
                  <w:r>
                    <w:rPr>
                      <w:rFonts w:ascii="Times New Roman" w:hAnsi="Times New Roman"/>
                      <w:color w:val="000000" w:themeColor="text1"/>
                      <w:spacing w:val="0"/>
                      <w:position w:val="0"/>
                      <w:szCs w:val="21"/>
                      <w:vertAlign w:val="superscript"/>
                      <w14:textFill>
                        <w14:solidFill>
                          <w14:schemeClr w14:val="tx1"/>
                        </w14:solidFill>
                      </w14:textFill>
                    </w:rPr>
                    <w:t>3</w:t>
                  </w:r>
                  <w:r>
                    <w:rPr>
                      <w:rFonts w:hint="eastAsia" w:ascii="Times New Roman" w:hAnsi="Times New Roman"/>
                      <w:color w:val="000000" w:themeColor="text1"/>
                      <w:spacing w:val="0"/>
                      <w:position w:val="0"/>
                      <w:szCs w:val="21"/>
                      <w14:textFill>
                        <w14:solidFill>
                          <w14:schemeClr w14:val="tx1"/>
                        </w14:solidFill>
                      </w14:textFill>
                    </w:rPr>
                    <w:t>）</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tcBorders>
                    <w:top w:val="single" w:color="auto" w:sz="4" w:space="0"/>
                    <w:right w:val="single" w:color="auto" w:sz="2" w:space="0"/>
                  </w:tcBorders>
                  <w:noWrap w:val="0"/>
                  <w:vAlign w:val="center"/>
                </w:tcPr>
                <w:p>
                  <w:pPr>
                    <w:keepLines w:val="0"/>
                    <w:pageBreakBefore w:val="0"/>
                    <w:kinsoku/>
                    <w:wordWrap w:val="0"/>
                    <w:topLinePunct w:val="0"/>
                    <w:bidi w:val="0"/>
                    <w:ind w:right="-51"/>
                    <w:jc w:val="center"/>
                    <w:rPr>
                      <w:rFonts w:hint="eastAsia" w:ascii="Times New Roman" w:hAnsi="Times New Roman" w:eastAsia="宋体"/>
                      <w:color w:val="000000" w:themeColor="text1"/>
                      <w:spacing w:val="0"/>
                      <w:position w:val="0"/>
                      <w:szCs w:val="21"/>
                      <w:lang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硫酸雾</w:t>
                  </w:r>
                </w:p>
              </w:tc>
              <w:tc>
                <w:tcPr>
                  <w:tcW w:w="549" w:type="pct"/>
                  <w:tcBorders>
                    <w:top w:val="single" w:color="auto" w:sz="4" w:space="0"/>
                    <w:left w:val="single" w:color="auto" w:sz="2" w:space="0"/>
                    <w:bottom w:val="single" w:color="auto" w:sz="4" w:space="0"/>
                    <w:right w:val="single" w:color="auto" w:sz="4" w:space="0"/>
                  </w:tcBorders>
                  <w:noWrap w:val="0"/>
                  <w:vAlign w:val="center"/>
                </w:tcPr>
                <w:p>
                  <w:pPr>
                    <w:keepLines w:val="0"/>
                    <w:pageBreakBefore w:val="0"/>
                    <w:kinsoku/>
                    <w:wordWrap w:val="0"/>
                    <w:topLinePunct w:val="0"/>
                    <w:bidi w:val="0"/>
                    <w:ind w:right="-51"/>
                    <w:jc w:val="center"/>
                    <w:rPr>
                      <w:rFonts w:hint="eastAsia" w:ascii="Times New Roman" w:hAnsi="Times New Roman" w:eastAsia="宋体"/>
                      <w:color w:val="000000" w:themeColor="text1"/>
                      <w:spacing w:val="0"/>
                      <w:position w:val="0"/>
                      <w:szCs w:val="21"/>
                      <w:lang w:eastAsia="zh-CN"/>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1.</w:t>
                  </w:r>
                  <w:r>
                    <w:rPr>
                      <w:rFonts w:hint="eastAsia" w:ascii="Times New Roman" w:hAnsi="Times New Roman"/>
                      <w:color w:val="000000" w:themeColor="text1"/>
                      <w:spacing w:val="0"/>
                      <w:position w:val="0"/>
                      <w:szCs w:val="21"/>
                      <w:lang w:val="en-US" w:eastAsia="zh-CN"/>
                      <w14:textFill>
                        <w14:solidFill>
                          <w14:schemeClr w14:val="tx1"/>
                        </w14:solidFill>
                      </w14:textFill>
                    </w:rPr>
                    <w:t>2</w:t>
                  </w:r>
                </w:p>
              </w:tc>
              <w:tc>
                <w:tcPr>
                  <w:tcW w:w="836" w:type="pct"/>
                  <w:gridSpan w:val="2"/>
                  <w:tcBorders>
                    <w:top w:val="single" w:color="auto" w:sz="4" w:space="0"/>
                    <w:left w:val="single" w:color="auto" w:sz="4" w:space="0"/>
                    <w:bottom w:val="single" w:color="auto" w:sz="4" w:space="0"/>
                    <w:right w:val="nil"/>
                  </w:tcBorders>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非甲烷总烃</w:t>
                  </w:r>
                </w:p>
              </w:tc>
              <w:tc>
                <w:tcPr>
                  <w:tcW w:w="882" w:type="pct"/>
                  <w:tcBorders>
                    <w:top w:val="single" w:color="auto" w:sz="4" w:space="0"/>
                    <w:left w:val="single" w:color="auto" w:sz="4" w:space="0"/>
                    <w:bottom w:val="single" w:color="auto" w:sz="4" w:space="0"/>
                    <w:right w:val="nil"/>
                  </w:tcBorders>
                  <w:noWrap w:val="0"/>
                  <w:vAlign w:val="center"/>
                </w:tcPr>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4.0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restart"/>
                  <w:tcBorders>
                    <w:top w:val="single" w:color="auto" w:sz="4" w:space="0"/>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《关于全省开展工业企业挥发性有机物专项治理工作中排放建议值的通知》（豫环攻坚办[2017]162号）</w:t>
                  </w:r>
                </w:p>
              </w:tc>
              <w:tc>
                <w:tcPr>
                  <w:tcW w:w="874" w:type="pct"/>
                  <w:vMerge w:val="restart"/>
                  <w:tcBorders>
                    <w:top w:val="single" w:color="auto" w:sz="4" w:space="0"/>
                    <w:right w:val="single" w:color="auto" w:sz="2" w:space="0"/>
                  </w:tcBorders>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非甲烷总烃</w:t>
                  </w:r>
                </w:p>
                <w:p>
                  <w:pPr>
                    <w:keepLines w:val="0"/>
                    <w:pageBreakBefore w:val="0"/>
                    <w:kinsoku/>
                    <w:wordWrap w:val="0"/>
                    <w:topLinePunct w:val="0"/>
                    <w:bidi w:val="0"/>
                    <w:ind w:right="-51"/>
                    <w:jc w:val="center"/>
                    <w:rPr>
                      <w:rFonts w:hint="eastAsia" w:ascii="Times New Roman" w:hAnsi="Times New Roman" w:eastAsia="宋体"/>
                      <w:color w:val="000000" w:themeColor="text1"/>
                      <w:spacing w:val="0"/>
                      <w:position w:val="0"/>
                      <w:szCs w:val="21"/>
                      <w:lang w:eastAsia="zh-CN"/>
                      <w14:textFill>
                        <w14:solidFill>
                          <w14:schemeClr w14:val="tx1"/>
                        </w14:solidFill>
                      </w14:textFill>
                    </w:rPr>
                  </w:pPr>
                  <w:r>
                    <w:rPr>
                      <w:rFonts w:hint="eastAsia" w:ascii="Times New Roman" w:hAnsi="Times New Roman"/>
                      <w:color w:val="000000" w:themeColor="text1"/>
                      <w:spacing w:val="0"/>
                      <w:position w:val="0"/>
                      <w:szCs w:val="21"/>
                      <w:lang w:eastAsia="zh-CN"/>
                      <w14:textFill>
                        <w14:solidFill>
                          <w14:schemeClr w14:val="tx1"/>
                        </w14:solidFill>
                      </w14:textFill>
                    </w:rPr>
                    <w:t>（</w:t>
                  </w:r>
                  <w:r>
                    <w:rPr>
                      <w:rFonts w:hint="eastAsia" w:ascii="Times New Roman" w:hAnsi="Times New Roman"/>
                      <w:color w:val="000000" w:themeColor="text1"/>
                      <w:spacing w:val="0"/>
                      <w:position w:val="0"/>
                      <w:szCs w:val="21"/>
                      <w:lang w:val="en-US" w:eastAsia="zh-CN"/>
                      <w14:textFill>
                        <w14:solidFill>
                          <w14:schemeClr w14:val="tx1"/>
                        </w14:solidFill>
                      </w14:textFill>
                    </w:rPr>
                    <w:t>其他行业</w:t>
                  </w:r>
                  <w:r>
                    <w:rPr>
                      <w:rFonts w:hint="eastAsia" w:ascii="Times New Roman" w:hAnsi="Times New Roman"/>
                      <w:color w:val="000000" w:themeColor="text1"/>
                      <w:spacing w:val="0"/>
                      <w:position w:val="0"/>
                      <w:szCs w:val="21"/>
                      <w:lang w:eastAsia="zh-CN"/>
                      <w14:textFill>
                        <w14:solidFill>
                          <w14:schemeClr w14:val="tx1"/>
                        </w14:solidFill>
                      </w14:textFill>
                    </w:rPr>
                    <w:t>）</w:t>
                  </w:r>
                </w:p>
              </w:tc>
              <w:tc>
                <w:tcPr>
                  <w:tcW w:w="2268" w:type="pct"/>
                  <w:gridSpan w:val="4"/>
                  <w:tcBorders>
                    <w:top w:val="single" w:color="auto" w:sz="2" w:space="0"/>
                    <w:left w:val="single" w:color="auto" w:sz="2" w:space="0"/>
                    <w:bottom w:val="single" w:color="auto" w:sz="4" w:space="0"/>
                    <w:right w:val="nil"/>
                  </w:tcBorders>
                  <w:noWrap w:val="0"/>
                  <w:vAlign w:val="center"/>
                </w:tcPr>
                <w:p>
                  <w:pPr>
                    <w:keepLines w:val="0"/>
                    <w:pageBreakBefore w:val="0"/>
                    <w:kinsoku/>
                    <w:wordWrap w:val="0"/>
                    <w:topLinePunct w:val="0"/>
                    <w:bidi w:val="0"/>
                    <w:ind w:right="-51"/>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工业企业挥发性有机物排放建议值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vMerge w:val="continue"/>
                  <w:tcBorders>
                    <w:right w:val="single" w:color="auto" w:sz="2" w:space="0"/>
                  </w:tcBorders>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14:textFill>
                        <w14:solidFill>
                          <w14:schemeClr w14:val="tx1"/>
                        </w14:solidFill>
                      </w14:textFill>
                    </w:rPr>
                  </w:pPr>
                </w:p>
              </w:tc>
              <w:tc>
                <w:tcPr>
                  <w:tcW w:w="2268" w:type="pct"/>
                  <w:gridSpan w:val="4"/>
                  <w:tcBorders>
                    <w:top w:val="single" w:color="auto" w:sz="4" w:space="0"/>
                    <w:left w:val="single" w:color="auto" w:sz="2" w:space="0"/>
                    <w:bottom w:val="single" w:color="auto" w:sz="4" w:space="0"/>
                    <w:right w:val="nil"/>
                  </w:tcBorders>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80mg/m</w:t>
                  </w:r>
                  <w:r>
                    <w:rPr>
                      <w:rFonts w:ascii="Times New Roman" w:hAnsi="Times New Roman"/>
                      <w:color w:val="000000" w:themeColor="text1"/>
                      <w:spacing w:val="0"/>
                      <w:position w:val="0"/>
                      <w:szCs w:val="21"/>
                      <w:vertAlign w:val="superscript"/>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vMerge w:val="continue"/>
                  <w:tcBorders>
                    <w:right w:val="single" w:color="auto" w:sz="2" w:space="0"/>
                  </w:tcBorders>
                  <w:noWrap w:val="0"/>
                  <w:vAlign w:val="center"/>
                </w:tcPr>
                <w:p>
                  <w:pPr>
                    <w:keepLines w:val="0"/>
                    <w:pageBreakBefore w:val="0"/>
                    <w:kinsoku/>
                    <w:wordWrap w:val="0"/>
                    <w:topLinePunct w:val="0"/>
                    <w:bidi w:val="0"/>
                    <w:ind w:right="-51" w:firstLine="420"/>
                    <w:jc w:val="center"/>
                    <w:rPr>
                      <w:rFonts w:ascii="Times New Roman" w:hAnsi="Times New Roman"/>
                      <w:color w:val="000000" w:themeColor="text1"/>
                      <w:spacing w:val="0"/>
                      <w:position w:val="0"/>
                      <w:szCs w:val="21"/>
                      <w14:textFill>
                        <w14:solidFill>
                          <w14:schemeClr w14:val="tx1"/>
                        </w14:solidFill>
                      </w14:textFill>
                    </w:rPr>
                  </w:pPr>
                </w:p>
              </w:tc>
              <w:tc>
                <w:tcPr>
                  <w:tcW w:w="2268" w:type="pct"/>
                  <w:gridSpan w:val="4"/>
                  <w:tcBorders>
                    <w:top w:val="single" w:color="auto" w:sz="4" w:space="0"/>
                    <w:bottom w:val="single" w:color="auto" w:sz="4" w:space="0"/>
                    <w:right w:val="nil"/>
                  </w:tcBorders>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建议去除效率</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vMerge w:val="continue"/>
                  <w:tcBorders>
                    <w:right w:val="single" w:color="auto" w:sz="2" w:space="0"/>
                  </w:tcBorders>
                  <w:noWrap w:val="0"/>
                  <w:vAlign w:val="center"/>
                </w:tcPr>
                <w:p>
                  <w:pPr>
                    <w:keepLines w:val="0"/>
                    <w:pageBreakBefore w:val="0"/>
                    <w:kinsoku/>
                    <w:wordWrap w:val="0"/>
                    <w:topLinePunct w:val="0"/>
                    <w:bidi w:val="0"/>
                    <w:ind w:right="-51" w:firstLine="420"/>
                    <w:jc w:val="center"/>
                    <w:rPr>
                      <w:rFonts w:ascii="Times New Roman" w:hAnsi="Times New Roman"/>
                      <w:color w:val="000000" w:themeColor="text1"/>
                      <w:spacing w:val="0"/>
                      <w:position w:val="0"/>
                      <w:szCs w:val="21"/>
                      <w14:textFill>
                        <w14:solidFill>
                          <w14:schemeClr w14:val="tx1"/>
                        </w14:solidFill>
                      </w14:textFill>
                    </w:rPr>
                  </w:pPr>
                </w:p>
              </w:tc>
              <w:tc>
                <w:tcPr>
                  <w:tcW w:w="2268" w:type="pct"/>
                  <w:gridSpan w:val="4"/>
                  <w:tcBorders>
                    <w:top w:val="single" w:color="auto" w:sz="4" w:space="0"/>
                    <w:bottom w:val="single" w:color="auto" w:sz="4" w:space="0"/>
                    <w:right w:val="nil"/>
                  </w:tcBorders>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70%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vMerge w:val="continue"/>
                  <w:tcBorders>
                    <w:right w:val="single" w:color="auto" w:sz="2" w:space="0"/>
                  </w:tcBorders>
                  <w:noWrap w:val="0"/>
                  <w:vAlign w:val="center"/>
                </w:tcPr>
                <w:p>
                  <w:pPr>
                    <w:keepLines w:val="0"/>
                    <w:pageBreakBefore w:val="0"/>
                    <w:kinsoku/>
                    <w:wordWrap w:val="0"/>
                    <w:topLinePunct w:val="0"/>
                    <w:bidi w:val="0"/>
                    <w:ind w:right="-51" w:firstLine="420"/>
                    <w:jc w:val="center"/>
                    <w:rPr>
                      <w:rFonts w:ascii="Times New Roman" w:hAnsi="Times New Roman"/>
                      <w:color w:val="000000" w:themeColor="text1"/>
                      <w:spacing w:val="0"/>
                      <w:position w:val="0"/>
                      <w:szCs w:val="21"/>
                      <w14:textFill>
                        <w14:solidFill>
                          <w14:schemeClr w14:val="tx1"/>
                        </w14:solidFill>
                      </w14:textFill>
                    </w:rPr>
                  </w:pPr>
                </w:p>
              </w:tc>
              <w:tc>
                <w:tcPr>
                  <w:tcW w:w="2268" w:type="pct"/>
                  <w:gridSpan w:val="4"/>
                  <w:tcBorders>
                    <w:top w:val="single" w:color="auto" w:sz="4" w:space="0"/>
                    <w:bottom w:val="single" w:color="auto" w:sz="4" w:space="0"/>
                    <w:right w:val="nil"/>
                  </w:tcBorders>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工业企业边界挥发性有机物排放建议值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p>
              </w:tc>
              <w:tc>
                <w:tcPr>
                  <w:tcW w:w="874" w:type="pct"/>
                  <w:vMerge w:val="continue"/>
                  <w:tcBorders>
                    <w:right w:val="single" w:color="auto" w:sz="2" w:space="0"/>
                  </w:tcBorders>
                  <w:noWrap w:val="0"/>
                  <w:vAlign w:val="center"/>
                </w:tcPr>
                <w:p>
                  <w:pPr>
                    <w:keepLines w:val="0"/>
                    <w:pageBreakBefore w:val="0"/>
                    <w:kinsoku/>
                    <w:wordWrap w:val="0"/>
                    <w:topLinePunct w:val="0"/>
                    <w:bidi w:val="0"/>
                    <w:ind w:right="-51" w:firstLine="420"/>
                    <w:jc w:val="center"/>
                    <w:rPr>
                      <w:rFonts w:ascii="Times New Roman" w:hAnsi="Times New Roman"/>
                      <w:color w:val="000000" w:themeColor="text1"/>
                      <w:spacing w:val="0"/>
                      <w:position w:val="0"/>
                      <w:szCs w:val="21"/>
                      <w14:textFill>
                        <w14:solidFill>
                          <w14:schemeClr w14:val="tx1"/>
                        </w14:solidFill>
                      </w14:textFill>
                    </w:rPr>
                  </w:pPr>
                </w:p>
              </w:tc>
              <w:tc>
                <w:tcPr>
                  <w:tcW w:w="2268" w:type="pct"/>
                  <w:gridSpan w:val="4"/>
                  <w:tcBorders>
                    <w:top w:val="single" w:color="auto" w:sz="4" w:space="0"/>
                    <w:right w:val="nil"/>
                  </w:tcBorders>
                  <w:noWrap w:val="0"/>
                  <w:vAlign w:val="center"/>
                </w:tcPr>
                <w:p>
                  <w:pPr>
                    <w:keepLines w:val="0"/>
                    <w:pageBreakBefore w:val="0"/>
                    <w:kinsoku/>
                    <w:wordWrap w:val="0"/>
                    <w:topLinePunct w:val="0"/>
                    <w:bidi w:val="0"/>
                    <w:adjustRightInd w:val="0"/>
                    <w:snapToGrid w:val="0"/>
                    <w:jc w:val="center"/>
                    <w:rPr>
                      <w:rFonts w:hint="eastAsia"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2.0mg/m</w:t>
                  </w:r>
                  <w:r>
                    <w:rPr>
                      <w:rFonts w:ascii="Times New Roman" w:hAnsi="Times New Roman"/>
                      <w:color w:val="000000" w:themeColor="text1"/>
                      <w:spacing w:val="0"/>
                      <w:position w:val="0"/>
                      <w:szCs w:val="21"/>
                      <w:vertAlign w:val="superscript"/>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restart"/>
                  <w:tcBorders>
                    <w:top w:val="single" w:color="auto" w:sz="2" w:space="0"/>
                    <w:left w:val="nil"/>
                  </w:tcBorders>
                  <w:noWrap w:val="0"/>
                  <w:vAlign w:val="center"/>
                </w:tcPr>
                <w:p>
                  <w:pPr>
                    <w:keepLines w:val="0"/>
                    <w:pageBreakBefore w:val="0"/>
                    <w:kinsoku/>
                    <w:wordWrap w:val="0"/>
                    <w:topLinePunct w:val="0"/>
                    <w:bidi w:val="0"/>
                    <w:jc w:val="center"/>
                    <w:rPr>
                      <w:rFonts w:hint="eastAsia"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w:t>
                  </w:r>
                  <w:r>
                    <w:rPr>
                      <w:rFonts w:hint="eastAsia" w:ascii="Times New Roman" w:hAnsi="Times New Roman"/>
                      <w:color w:val="000000" w:themeColor="text1"/>
                      <w:spacing w:val="0"/>
                      <w:position w:val="0"/>
                      <w:szCs w:val="21"/>
                      <w:lang w:val="en-US" w:eastAsia="zh-CN"/>
                      <w14:textFill>
                        <w14:solidFill>
                          <w14:schemeClr w14:val="tx1"/>
                        </w14:solidFill>
                      </w14:textFill>
                    </w:rPr>
                    <w:t>挥发性有机物无组织排放控制标准</w:t>
                  </w:r>
                  <w:r>
                    <w:rPr>
                      <w:rFonts w:hint="eastAsia" w:ascii="Times New Roman" w:hAnsi="Times New Roman"/>
                      <w:color w:val="000000" w:themeColor="text1"/>
                      <w:spacing w:val="0"/>
                      <w:position w:val="0"/>
                      <w:szCs w:val="21"/>
                      <w14:textFill>
                        <w14:solidFill>
                          <w14:schemeClr w14:val="tx1"/>
                        </w14:solidFill>
                      </w14:textFill>
                    </w:rPr>
                    <w:t>》（</w:t>
                  </w:r>
                  <w:r>
                    <w:rPr>
                      <w:rFonts w:ascii="Times New Roman" w:hAnsi="Times New Roman"/>
                      <w:color w:val="000000" w:themeColor="text1"/>
                      <w:spacing w:val="0"/>
                      <w:position w:val="0"/>
                      <w:szCs w:val="21"/>
                      <w14:textFill>
                        <w14:solidFill>
                          <w14:schemeClr w14:val="tx1"/>
                        </w14:solidFill>
                      </w14:textFill>
                    </w:rPr>
                    <w:t>GB</w:t>
                  </w:r>
                  <w:r>
                    <w:rPr>
                      <w:rFonts w:hint="eastAsia" w:ascii="Times New Roman" w:hAnsi="Times New Roman"/>
                      <w:color w:val="000000" w:themeColor="text1"/>
                      <w:spacing w:val="0"/>
                      <w:position w:val="0"/>
                      <w:szCs w:val="21"/>
                      <w:lang w:val="en-US" w:eastAsia="zh-CN"/>
                      <w14:textFill>
                        <w14:solidFill>
                          <w14:schemeClr w14:val="tx1"/>
                        </w14:solidFill>
                      </w14:textFill>
                    </w:rPr>
                    <w:t>37822</w:t>
                  </w:r>
                  <w:r>
                    <w:rPr>
                      <w:rFonts w:hint="eastAsia" w:ascii="Times New Roman" w:hAnsi="Times New Roman"/>
                      <w:color w:val="000000" w:themeColor="text1"/>
                      <w:spacing w:val="0"/>
                      <w:position w:val="0"/>
                      <w:szCs w:val="21"/>
                      <w14:textFill>
                        <w14:solidFill>
                          <w14:schemeClr w14:val="tx1"/>
                        </w14:solidFill>
                      </w14:textFill>
                    </w:rPr>
                    <w:t>-</w:t>
                  </w:r>
                  <w:r>
                    <w:rPr>
                      <w:rFonts w:ascii="Times New Roman" w:hAnsi="Times New Roman"/>
                      <w:color w:val="000000" w:themeColor="text1"/>
                      <w:spacing w:val="0"/>
                      <w:position w:val="0"/>
                      <w:szCs w:val="21"/>
                      <w14:textFill>
                        <w14:solidFill>
                          <w14:schemeClr w14:val="tx1"/>
                        </w14:solidFill>
                      </w14:textFill>
                    </w:rPr>
                    <w:t>20</w:t>
                  </w:r>
                  <w:r>
                    <w:rPr>
                      <w:rFonts w:hint="eastAsia" w:ascii="Times New Roman" w:hAnsi="Times New Roman"/>
                      <w:color w:val="000000" w:themeColor="text1"/>
                      <w:spacing w:val="0"/>
                      <w:position w:val="0"/>
                      <w:szCs w:val="21"/>
                      <w:lang w:val="en-US" w:eastAsia="zh-CN"/>
                      <w14:textFill>
                        <w14:solidFill>
                          <w14:schemeClr w14:val="tx1"/>
                        </w14:solidFill>
                      </w14:textFill>
                    </w:rPr>
                    <w:t>19</w:t>
                  </w:r>
                  <w:r>
                    <w:rPr>
                      <w:rFonts w:hint="eastAsia" w:ascii="Times New Roman" w:hAnsi="Times New Roman"/>
                      <w:color w:val="000000" w:themeColor="text1"/>
                      <w:spacing w:val="0"/>
                      <w:position w:val="0"/>
                      <w:szCs w:val="21"/>
                      <w14:textFill>
                        <w14:solidFill>
                          <w14:schemeClr w14:val="tx1"/>
                        </w14:solidFill>
                      </w14:textFill>
                    </w:rPr>
                    <w:t>）</w:t>
                  </w:r>
                </w:p>
              </w:tc>
              <w:tc>
                <w:tcPr>
                  <w:tcW w:w="874" w:type="pct"/>
                  <w:vMerge w:val="restart"/>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NMHC</w:t>
                  </w:r>
                </w:p>
              </w:tc>
              <w:tc>
                <w:tcPr>
                  <w:tcW w:w="2268" w:type="pct"/>
                  <w:gridSpan w:val="4"/>
                  <w:tcBorders>
                    <w:bottom w:val="single" w:color="auto" w:sz="4" w:space="0"/>
                    <w:right w:val="nil"/>
                  </w:tcBorders>
                  <w:noWrap w:val="0"/>
                  <w:vAlign w:val="center"/>
                </w:tcPr>
                <w:p>
                  <w:pPr>
                    <w:keepLines w:val="0"/>
                    <w:pageBreakBefore w:val="0"/>
                    <w:kinsoku/>
                    <w:wordWrap w:val="0"/>
                    <w:topLinePunct w:val="0"/>
                    <w:bidi w:val="0"/>
                    <w:ind w:right="-51"/>
                    <w:jc w:val="center"/>
                    <w:rPr>
                      <w:rFonts w:hint="default" w:ascii="Times New Roman" w:hAnsi="Times New Roman" w:eastAsia="宋体"/>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监控点1h平均浓度</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hint="eastAsia" w:ascii="Times New Roman" w:hAnsi="Times New Roman"/>
                      <w:color w:val="000000" w:themeColor="text1"/>
                      <w:spacing w:val="0"/>
                      <w:position w:val="0"/>
                      <w:szCs w:val="21"/>
                      <w14:textFill>
                        <w14:solidFill>
                          <w14:schemeClr w14:val="tx1"/>
                        </w14:solidFill>
                      </w14:textFill>
                    </w:rPr>
                  </w:pPr>
                </w:p>
              </w:tc>
              <w:tc>
                <w:tcPr>
                  <w:tcW w:w="874" w:type="pct"/>
                  <w:vMerge w:val="continue"/>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lang w:val="en-US" w:eastAsia="zh-CN"/>
                      <w14:textFill>
                        <w14:solidFill>
                          <w14:schemeClr w14:val="tx1"/>
                        </w14:solidFill>
                      </w14:textFill>
                    </w:rPr>
                  </w:pPr>
                </w:p>
              </w:tc>
              <w:tc>
                <w:tcPr>
                  <w:tcW w:w="2268" w:type="pct"/>
                  <w:gridSpan w:val="4"/>
                  <w:tcBorders>
                    <w:bottom w:val="single" w:color="auto" w:sz="4" w:space="0"/>
                    <w:right w:val="nil"/>
                  </w:tcBorders>
                  <w:noWrap w:val="0"/>
                  <w:vAlign w:val="center"/>
                </w:tcPr>
                <w:p>
                  <w:pPr>
                    <w:keepLines w:val="0"/>
                    <w:pageBreakBefore w:val="0"/>
                    <w:kinsoku/>
                    <w:wordWrap w:val="0"/>
                    <w:topLinePunct w:val="0"/>
                    <w:bidi w:val="0"/>
                    <w:ind w:right="-51"/>
                    <w:jc w:val="center"/>
                    <w:rPr>
                      <w:rFonts w:hint="default" w:ascii="Times New Roman" w:hAnsi="Times New Roman" w:eastAsia="宋体"/>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10</w:t>
                  </w:r>
                  <w:r>
                    <w:rPr>
                      <w:rFonts w:ascii="Times New Roman" w:hAnsi="Times New Roman"/>
                      <w:color w:val="000000" w:themeColor="text1"/>
                      <w:spacing w:val="0"/>
                      <w:position w:val="0"/>
                      <w:szCs w:val="21"/>
                      <w14:textFill>
                        <w14:solidFill>
                          <w14:schemeClr w14:val="tx1"/>
                        </w14:solidFill>
                      </w14:textFill>
                    </w:rPr>
                    <w:t>mg/m</w:t>
                  </w:r>
                  <w:r>
                    <w:rPr>
                      <w:rFonts w:ascii="Times New Roman" w:hAnsi="Times New Roman"/>
                      <w:color w:val="000000" w:themeColor="text1"/>
                      <w:spacing w:val="0"/>
                      <w:position w:val="0"/>
                      <w:szCs w:val="21"/>
                      <w:vertAlign w:val="superscript"/>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hint="eastAsia" w:ascii="Times New Roman" w:hAnsi="Times New Roman"/>
                      <w:color w:val="000000" w:themeColor="text1"/>
                      <w:spacing w:val="0"/>
                      <w:position w:val="0"/>
                      <w:szCs w:val="21"/>
                      <w14:textFill>
                        <w14:solidFill>
                          <w14:schemeClr w14:val="tx1"/>
                        </w14:solidFill>
                      </w14:textFill>
                    </w:rPr>
                  </w:pPr>
                </w:p>
              </w:tc>
              <w:tc>
                <w:tcPr>
                  <w:tcW w:w="874" w:type="pct"/>
                  <w:vMerge w:val="continue"/>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lang w:val="en-US" w:eastAsia="zh-CN"/>
                      <w14:textFill>
                        <w14:solidFill>
                          <w14:schemeClr w14:val="tx1"/>
                        </w14:solidFill>
                      </w14:textFill>
                    </w:rPr>
                  </w:pPr>
                </w:p>
              </w:tc>
              <w:tc>
                <w:tcPr>
                  <w:tcW w:w="2268" w:type="pct"/>
                  <w:gridSpan w:val="4"/>
                  <w:tcBorders>
                    <w:bottom w:val="single" w:color="auto" w:sz="4" w:space="0"/>
                    <w:right w:val="nil"/>
                  </w:tcBorders>
                  <w:noWrap w:val="0"/>
                  <w:vAlign w:val="center"/>
                </w:tcPr>
                <w:p>
                  <w:pPr>
                    <w:keepLines w:val="0"/>
                    <w:pageBreakBefore w:val="0"/>
                    <w:kinsoku/>
                    <w:wordWrap w:val="0"/>
                    <w:topLinePunct w:val="0"/>
                    <w:bidi w:val="0"/>
                    <w:ind w:right="-51"/>
                    <w:jc w:val="center"/>
                    <w:rPr>
                      <w:rFonts w:hint="default" w:ascii="Times New Roman" w:hAnsi="Times New Roman"/>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监测点处任意一次浓度值</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1857" w:type="pct"/>
                  <w:vMerge w:val="continue"/>
                  <w:tcBorders>
                    <w:left w:val="nil"/>
                  </w:tcBorders>
                  <w:noWrap w:val="0"/>
                  <w:vAlign w:val="center"/>
                </w:tcPr>
                <w:p>
                  <w:pPr>
                    <w:keepLines w:val="0"/>
                    <w:pageBreakBefore w:val="0"/>
                    <w:kinsoku/>
                    <w:wordWrap w:val="0"/>
                    <w:topLinePunct w:val="0"/>
                    <w:bidi w:val="0"/>
                    <w:jc w:val="center"/>
                    <w:rPr>
                      <w:rFonts w:hint="eastAsia" w:ascii="Times New Roman" w:hAnsi="Times New Roman"/>
                      <w:color w:val="000000" w:themeColor="text1"/>
                      <w:spacing w:val="0"/>
                      <w:position w:val="0"/>
                      <w:szCs w:val="21"/>
                      <w14:textFill>
                        <w14:solidFill>
                          <w14:schemeClr w14:val="tx1"/>
                        </w14:solidFill>
                      </w14:textFill>
                    </w:rPr>
                  </w:pPr>
                </w:p>
              </w:tc>
              <w:tc>
                <w:tcPr>
                  <w:tcW w:w="874" w:type="pct"/>
                  <w:vMerge w:val="continue"/>
                  <w:noWrap w:val="0"/>
                  <w:vAlign w:val="center"/>
                </w:tcPr>
                <w:p>
                  <w:pPr>
                    <w:keepLines w:val="0"/>
                    <w:pageBreakBefore w:val="0"/>
                    <w:kinsoku/>
                    <w:wordWrap w:val="0"/>
                    <w:topLinePunct w:val="0"/>
                    <w:bidi w:val="0"/>
                    <w:ind w:right="-51"/>
                    <w:jc w:val="center"/>
                    <w:rPr>
                      <w:rFonts w:hint="eastAsia" w:ascii="Times New Roman" w:hAnsi="Times New Roman"/>
                      <w:color w:val="000000" w:themeColor="text1"/>
                      <w:spacing w:val="0"/>
                      <w:position w:val="0"/>
                      <w:szCs w:val="21"/>
                      <w:lang w:val="en-US" w:eastAsia="zh-CN"/>
                      <w14:textFill>
                        <w14:solidFill>
                          <w14:schemeClr w14:val="tx1"/>
                        </w14:solidFill>
                      </w14:textFill>
                    </w:rPr>
                  </w:pPr>
                </w:p>
              </w:tc>
              <w:tc>
                <w:tcPr>
                  <w:tcW w:w="2268" w:type="pct"/>
                  <w:gridSpan w:val="4"/>
                  <w:tcBorders>
                    <w:bottom w:val="single" w:color="auto" w:sz="4" w:space="0"/>
                    <w:right w:val="nil"/>
                  </w:tcBorders>
                  <w:noWrap w:val="0"/>
                  <w:vAlign w:val="center"/>
                </w:tcPr>
                <w:p>
                  <w:pPr>
                    <w:keepLines w:val="0"/>
                    <w:pageBreakBefore w:val="0"/>
                    <w:kinsoku/>
                    <w:wordWrap w:val="0"/>
                    <w:topLinePunct w:val="0"/>
                    <w:bidi w:val="0"/>
                    <w:ind w:right="-51"/>
                    <w:jc w:val="center"/>
                    <w:rPr>
                      <w:rFonts w:hint="default" w:ascii="Times New Roman" w:hAnsi="Times New Roman"/>
                      <w:color w:val="000000" w:themeColor="text1"/>
                      <w:spacing w:val="0"/>
                      <w:position w:val="0"/>
                      <w:szCs w:val="21"/>
                      <w:lang w:val="en-US" w:eastAsia="zh-CN"/>
                      <w14:textFill>
                        <w14:solidFill>
                          <w14:schemeClr w14:val="tx1"/>
                        </w14:solidFill>
                      </w14:textFill>
                    </w:rPr>
                  </w:pPr>
                  <w:r>
                    <w:rPr>
                      <w:rFonts w:hint="eastAsia" w:ascii="Times New Roman" w:hAnsi="Times New Roman"/>
                      <w:color w:val="000000" w:themeColor="text1"/>
                      <w:spacing w:val="0"/>
                      <w:position w:val="0"/>
                      <w:szCs w:val="21"/>
                      <w:lang w:val="en-US" w:eastAsia="zh-CN"/>
                      <w14:textFill>
                        <w14:solidFill>
                          <w14:schemeClr w14:val="tx1"/>
                        </w14:solidFill>
                      </w14:textFill>
                    </w:rPr>
                    <w:t>30</w:t>
                  </w:r>
                  <w:r>
                    <w:rPr>
                      <w:rFonts w:ascii="Times New Roman" w:hAnsi="Times New Roman"/>
                      <w:color w:val="000000" w:themeColor="text1"/>
                      <w:spacing w:val="0"/>
                      <w:position w:val="0"/>
                      <w:szCs w:val="21"/>
                      <w14:textFill>
                        <w14:solidFill>
                          <w14:schemeClr w14:val="tx1"/>
                        </w14:solidFill>
                      </w14:textFill>
                    </w:rPr>
                    <w:t>mg/m</w:t>
                  </w:r>
                  <w:r>
                    <w:rPr>
                      <w:rFonts w:ascii="Times New Roman" w:hAnsi="Times New Roman"/>
                      <w:color w:val="000000" w:themeColor="text1"/>
                      <w:spacing w:val="0"/>
                      <w:position w:val="0"/>
                      <w:szCs w:val="21"/>
                      <w:vertAlign w:val="superscript"/>
                      <w14:textFill>
                        <w14:solidFill>
                          <w14:schemeClr w14:val="tx1"/>
                        </w14:solidFill>
                      </w14:textFill>
                    </w:rPr>
                    <w:t>3</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6"/>
                  <w:tcBorders>
                    <w:left w:val="nil"/>
                    <w:righ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ascii="Times New Roman" w:hAnsi="Times New Roman"/>
                      <w:color w:val="000000" w:themeColor="text1"/>
                      <w:spacing w:val="0"/>
                      <w:position w:val="0"/>
                      <w:szCs w:val="21"/>
                      <w14:textFill>
                        <w14:solidFill>
                          <w14:schemeClr w14:val="tx1"/>
                        </w14:solidFill>
                      </w14:textFill>
                    </w:rPr>
                    <w:t>《</w:t>
                  </w:r>
                  <w:r>
                    <w:rPr>
                      <w:rFonts w:hint="eastAsia" w:ascii="Times New Roman" w:hAnsi="Times New Roman"/>
                      <w:color w:val="000000" w:themeColor="text1"/>
                      <w:spacing w:val="0"/>
                      <w:position w:val="0"/>
                      <w:szCs w:val="21"/>
                      <w14:textFill>
                        <w14:solidFill>
                          <w14:schemeClr w14:val="tx1"/>
                        </w14:solidFill>
                      </w14:textFill>
                    </w:rPr>
                    <w:t>一般工业固体废物贮存和填埋污染控制标准</w:t>
                  </w:r>
                  <w:r>
                    <w:rPr>
                      <w:rFonts w:ascii="Times New Roman" w:hAnsi="Times New Roman"/>
                      <w:color w:val="000000" w:themeColor="text1"/>
                      <w:spacing w:val="0"/>
                      <w:position w:val="0"/>
                      <w:szCs w:val="21"/>
                      <w14:textFill>
                        <w14:solidFill>
                          <w14:schemeClr w14:val="tx1"/>
                        </w14:solidFill>
                      </w14:textFill>
                    </w:rPr>
                    <w:t>》（GB18599-2020）</w:t>
                  </w:r>
                </w:p>
              </w:tc>
            </w:tr>
            <w:tr>
              <w:tblPrEx>
                <w:tblBorders>
                  <w:top w:val="single" w:color="000000" w:sz="12" w:space="0"/>
                  <w:left w:val="none" w:color="auto" w:sz="0" w:space="0"/>
                  <w:bottom w:val="single" w:color="000000" w:sz="12" w:space="0"/>
                  <w:right w:val="none" w:color="auto" w:sz="0" w:space="0"/>
                  <w:insideH w:val="single" w:color="000000" w:sz="2" w:space="0"/>
                  <w:insideV w:val="single" w:color="000000" w:sz="2" w:space="0"/>
                </w:tblBorders>
                <w:tblCellMar>
                  <w:top w:w="0" w:type="dxa"/>
                  <w:left w:w="108" w:type="dxa"/>
                  <w:bottom w:w="0" w:type="dxa"/>
                  <w:right w:w="108" w:type="dxa"/>
                </w:tblCellMar>
              </w:tblPrEx>
              <w:trPr>
                <w:trHeight w:val="340" w:hRule="atLeast"/>
              </w:trPr>
              <w:tc>
                <w:tcPr>
                  <w:tcW w:w="5000" w:type="pct"/>
                  <w:gridSpan w:val="6"/>
                  <w:tcBorders>
                    <w:left w:val="nil"/>
                    <w:bottom w:val="single" w:color="auto" w:sz="12" w:space="0"/>
                    <w:right w:val="nil"/>
                  </w:tcBorders>
                  <w:noWrap w:val="0"/>
                  <w:vAlign w:val="center"/>
                </w:tcPr>
                <w:p>
                  <w:pPr>
                    <w:keepLines w:val="0"/>
                    <w:pageBreakBefore w:val="0"/>
                    <w:kinsoku/>
                    <w:wordWrap w:val="0"/>
                    <w:topLinePunct w:val="0"/>
                    <w:bidi w:val="0"/>
                    <w:jc w:val="center"/>
                    <w:rPr>
                      <w:rFonts w:ascii="Times New Roman" w:hAnsi="Times New Roman"/>
                      <w:color w:val="000000" w:themeColor="text1"/>
                      <w:spacing w:val="0"/>
                      <w:position w:val="0"/>
                      <w:szCs w:val="21"/>
                      <w14:textFill>
                        <w14:solidFill>
                          <w14:schemeClr w14:val="tx1"/>
                        </w14:solidFill>
                      </w14:textFill>
                    </w:rPr>
                  </w:pPr>
                  <w:r>
                    <w:rPr>
                      <w:rFonts w:hint="eastAsia" w:ascii="Times New Roman" w:hAnsi="Times New Roman"/>
                      <w:color w:val="000000" w:themeColor="text1"/>
                      <w:spacing w:val="0"/>
                      <w:position w:val="0"/>
                      <w:szCs w:val="21"/>
                      <w14:textFill>
                        <w14:solidFill>
                          <w14:schemeClr w14:val="tx1"/>
                        </w14:solidFill>
                      </w14:textFill>
                    </w:rPr>
                    <w:t>《危险废物贮存污染控制标准》（GB18597-20</w:t>
                  </w:r>
                  <w:r>
                    <w:rPr>
                      <w:rFonts w:hint="eastAsia" w:ascii="Times New Roman" w:hAnsi="Times New Roman"/>
                      <w:color w:val="000000" w:themeColor="text1"/>
                      <w:spacing w:val="0"/>
                      <w:position w:val="0"/>
                      <w:szCs w:val="21"/>
                      <w:lang w:val="en-US" w:eastAsia="zh-CN"/>
                      <w14:textFill>
                        <w14:solidFill>
                          <w14:schemeClr w14:val="tx1"/>
                        </w14:solidFill>
                      </w14:textFill>
                    </w:rPr>
                    <w:t>23</w:t>
                  </w:r>
                  <w:r>
                    <w:rPr>
                      <w:rFonts w:hint="eastAsia" w:ascii="Times New Roman" w:hAnsi="Times New Roman"/>
                      <w:color w:val="000000" w:themeColor="text1"/>
                      <w:spacing w:val="0"/>
                      <w:position w:val="0"/>
                      <w:szCs w:val="21"/>
                      <w14:textFill>
                        <w14:solidFill>
                          <w14:schemeClr w14:val="tx1"/>
                        </w14:solidFill>
                      </w14:textFill>
                    </w:rPr>
                    <w:t>）</w:t>
                  </w:r>
                </w:p>
              </w:tc>
            </w:tr>
          </w:tbl>
          <w:p>
            <w:pPr>
              <w:keepLines w:val="0"/>
              <w:pageBreakBefore w:val="0"/>
              <w:kinsoku/>
              <w:wordWrap w:val="0"/>
              <w:topLinePunct w:val="0"/>
              <w:bidi w:val="0"/>
              <w:adjustRightInd w:val="0"/>
              <w:snapToGrid w:val="0"/>
              <w:rPr>
                <w:rFonts w:hint="eastAsia" w:ascii="Times New Roman" w:hAnsi="Times New Roman" w:cs="宋体"/>
                <w:color w:val="000000" w:themeColor="text1"/>
                <w:spacing w:val="0"/>
                <w:kern w:val="0"/>
                <w:position w:val="0"/>
                <w:szCs w:val="21"/>
                <w:lang w:val="en-US" w:eastAsia="zh-CN"/>
                <w14:textFill>
                  <w14:solidFill>
                    <w14:schemeClr w14:val="tx1"/>
                  </w14:solidFill>
                </w14:textFill>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330" w:hRule="atLeast"/>
          <w:jc w:val="center"/>
        </w:trPr>
        <w:tc>
          <w:tcPr>
            <w:tcW w:w="800"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总量</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控制</w:t>
            </w:r>
          </w:p>
          <w:p>
            <w:pPr>
              <w:keepLines w:val="0"/>
              <w:pageBreakBefore w:val="0"/>
              <w:kinsoku/>
              <w:wordWrap w:val="0"/>
              <w:topLinePunct w:val="0"/>
              <w:bidi w:val="0"/>
              <w:adjustRightInd w:val="0"/>
              <w:snapToGrid w:val="0"/>
              <w:jc w:val="center"/>
              <w:rPr>
                <w:rFonts w:ascii="Times New Roman" w:hAnsi="Times New Roman" w:cs="宋体"/>
                <w:color w:val="000000" w:themeColor="text1"/>
                <w:spacing w:val="0"/>
                <w:kern w:val="0"/>
                <w:position w:val="0"/>
                <w:szCs w:val="21"/>
                <w14:textFill>
                  <w14:solidFill>
                    <w14:schemeClr w14:val="tx1"/>
                  </w14:solidFill>
                </w14:textFill>
              </w:rPr>
            </w:pPr>
            <w:r>
              <w:rPr>
                <w:rFonts w:hint="eastAsia" w:ascii="Times New Roman" w:hAnsi="Times New Roman" w:cs="宋体"/>
                <w:color w:val="000000" w:themeColor="text1"/>
                <w:spacing w:val="0"/>
                <w:kern w:val="0"/>
                <w:position w:val="0"/>
                <w:szCs w:val="21"/>
                <w14:textFill>
                  <w14:solidFill>
                    <w14:schemeClr w14:val="tx1"/>
                  </w14:solidFill>
                </w14:textFill>
              </w:rPr>
              <w:t>指标</w:t>
            </w:r>
          </w:p>
        </w:tc>
        <w:tc>
          <w:tcPr>
            <w:tcW w:w="8190" w:type="dxa"/>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500" w:lineRule="exact"/>
              <w:ind w:left="0" w:right="0" w:firstLine="480" w:firstLineChars="200"/>
              <w:jc w:val="left"/>
              <w:textAlignment w:val="auto"/>
              <w:rPr>
                <w:rFonts w:hint="default" w:ascii="Times New Roman" w:hAnsi="Times New Roman" w:eastAsia="宋体" w:cs="Times New Roman"/>
                <w:color w:val="000000" w:themeColor="text1"/>
                <w:spacing w:val="0"/>
                <w:kern w:val="0"/>
                <w:positio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lang w:val="en-US" w:eastAsia="zh-CN" w:bidi="ar"/>
                <w14:textFill>
                  <w14:solidFill>
                    <w14:schemeClr w14:val="tx1"/>
                  </w14:solidFill>
                </w14:textFill>
              </w:rPr>
              <w:t>项目废水主要为生活污水经化粪池处理后</w:t>
            </w:r>
            <w:r>
              <w:rPr>
                <w:rFonts w:hint="eastAsia" w:ascii="Times New Roman" w:hAnsi="Times New Roman" w:eastAsia="宋体" w:cs="Times New Roman"/>
                <w:color w:val="000000" w:themeColor="text1"/>
                <w:spacing w:val="0"/>
                <w:kern w:val="0"/>
                <w:position w:val="0"/>
                <w:sz w:val="24"/>
                <w:szCs w:val="24"/>
                <w:lang w:val="en-US" w:eastAsia="zh-CN" w:bidi="ar"/>
                <w14:textFill>
                  <w14:solidFill>
                    <w14:schemeClr w14:val="tx1"/>
                  </w14:solidFill>
                </w14:textFill>
              </w:rPr>
              <w:t>定期清掏，运往周边农田</w:t>
            </w:r>
            <w:r>
              <w:rPr>
                <w:rFonts w:hint="default" w:ascii="Times New Roman" w:hAnsi="Times New Roman" w:eastAsia="宋体" w:cs="Times New Roman"/>
                <w:color w:val="000000" w:themeColor="text1"/>
                <w:spacing w:val="0"/>
                <w:kern w:val="0"/>
                <w:position w:val="0"/>
                <w:sz w:val="24"/>
                <w:szCs w:val="24"/>
                <w:lang w:val="en-US" w:eastAsia="zh-CN" w:bidi="ar"/>
                <w14:textFill>
                  <w14:solidFill>
                    <w14:schemeClr w14:val="tx1"/>
                  </w14:solidFill>
                </w14:textFill>
              </w:rPr>
              <w:t>，不外排，不涉及废水总量控制目标。</w:t>
            </w:r>
          </w:p>
          <w:p>
            <w:pPr>
              <w:keepNext w:val="0"/>
              <w:keepLines w:val="0"/>
              <w:pageBreakBefore w:val="0"/>
              <w:widowControl/>
              <w:suppressLineNumbers w:val="0"/>
              <w:kinsoku/>
              <w:wordWrap w:val="0"/>
              <w:overflowPunct/>
              <w:topLinePunct w:val="0"/>
              <w:autoSpaceDE/>
              <w:autoSpaceDN/>
              <w:bidi w:val="0"/>
              <w:adjustRightInd/>
              <w:snapToGrid/>
              <w:spacing w:line="500" w:lineRule="exact"/>
              <w:ind w:left="0" w:right="0" w:firstLine="480" w:firstLineChars="200"/>
              <w:jc w:val="left"/>
              <w:textAlignment w:val="auto"/>
              <w:rPr>
                <w:rFonts w:hint="default" w:ascii="Times New Roman" w:hAnsi="Times New Roman" w:eastAsia="宋体" w:cs="Times New Roman"/>
                <w:color w:val="000000" w:themeColor="text1"/>
                <w:spacing w:val="0"/>
                <w:position w:val="0"/>
                <w:sz w:val="24"/>
                <w:lang w:val="en-US" w:eastAsia="zh-CN"/>
                <w14:textFill>
                  <w14:solidFill>
                    <w14:schemeClr w14:val="tx1"/>
                  </w14:solidFill>
                </w14:textFill>
              </w:rPr>
            </w:pPr>
            <w:r>
              <w:rPr>
                <w:rFonts w:hint="default"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本项目</w:t>
            </w:r>
            <w:r>
              <w:rPr>
                <w:rFonts w:hint="eastAsia"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VOCs</w:t>
            </w:r>
            <w:r>
              <w:rPr>
                <w:rFonts w:hint="default"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排放量</w:t>
            </w:r>
            <w:r>
              <w:rPr>
                <w:rFonts w:hint="eastAsia"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0.</w:t>
            </w:r>
            <w:r>
              <w:rPr>
                <w:rFonts w:hint="eastAsia" w:cs="Times New Roman"/>
                <w:color w:val="000000" w:themeColor="text1"/>
                <w:spacing w:val="0"/>
                <w:kern w:val="0"/>
                <w:position w:val="0"/>
                <w:sz w:val="24"/>
                <w:szCs w:val="24"/>
                <w:highlight w:val="none"/>
                <w:lang w:val="en-US" w:eastAsia="zh-CN" w:bidi="ar"/>
                <w14:textFill>
                  <w14:solidFill>
                    <w14:schemeClr w14:val="tx1"/>
                  </w14:solidFill>
                </w14:textFill>
              </w:rPr>
              <w:t>207</w:t>
            </w:r>
            <w:r>
              <w:rPr>
                <w:rFonts w:hint="default"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t/a。根据倍量替代原则，</w:t>
            </w:r>
            <w:r>
              <w:rPr>
                <w:rFonts w:hint="eastAsia"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VOCs</w:t>
            </w:r>
            <w:r>
              <w:rPr>
                <w:rFonts w:hint="default"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倍量替代量为0.</w:t>
            </w:r>
            <w:r>
              <w:rPr>
                <w:rFonts w:hint="eastAsia" w:cs="Times New Roman"/>
                <w:color w:val="000000" w:themeColor="text1"/>
                <w:spacing w:val="0"/>
                <w:kern w:val="0"/>
                <w:position w:val="0"/>
                <w:sz w:val="24"/>
                <w:szCs w:val="24"/>
                <w:highlight w:val="none"/>
                <w:lang w:val="en-US" w:eastAsia="zh-CN" w:bidi="ar"/>
                <w14:textFill>
                  <w14:solidFill>
                    <w14:schemeClr w14:val="tx1"/>
                  </w14:solidFill>
                </w14:textFill>
              </w:rPr>
              <w:t>414</w:t>
            </w:r>
            <w:r>
              <w:rPr>
                <w:rFonts w:hint="default"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t/a。项目替代源及可用替代量</w:t>
            </w:r>
            <w:r>
              <w:rPr>
                <w:rFonts w:hint="eastAsia" w:cs="Times New Roman"/>
                <w:color w:val="000000" w:themeColor="text1"/>
                <w:spacing w:val="0"/>
                <w:kern w:val="0"/>
                <w:position w:val="0"/>
                <w:sz w:val="24"/>
                <w:szCs w:val="24"/>
                <w:highlight w:val="none"/>
                <w:lang w:val="en-US" w:eastAsia="zh-CN" w:bidi="ar"/>
                <w14:textFill>
                  <w14:solidFill>
                    <w14:schemeClr w14:val="tx1"/>
                  </w14:solidFill>
                </w14:textFill>
              </w:rPr>
              <w:t>为</w:t>
            </w:r>
            <w:r>
              <w:rPr>
                <w:rFonts w:hint="default"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河南平煤神马首山化工科技有限公司220万吨/年焦化大型化改造产业升级项目（重大变动）的削减量VOCs29.5834</w:t>
            </w:r>
            <w:r>
              <w:rPr>
                <w:rFonts w:hint="eastAsia" w:cs="Times New Roman"/>
                <w:color w:val="000000" w:themeColor="text1"/>
                <w:spacing w:val="0"/>
                <w:kern w:val="0"/>
                <w:position w:val="0"/>
                <w:sz w:val="24"/>
                <w:szCs w:val="24"/>
                <w:highlight w:val="none"/>
                <w:lang w:val="en-US" w:eastAsia="zh-CN" w:bidi="ar"/>
                <w14:textFill>
                  <w14:solidFill>
                    <w14:schemeClr w14:val="tx1"/>
                  </w14:solidFill>
                </w14:textFill>
              </w:rPr>
              <w:t>t/a，本项目使用后剩余量为29.1694t/a</w:t>
            </w:r>
            <w:r>
              <w:rPr>
                <w:rFonts w:hint="default" w:ascii="Times New Roman" w:hAnsi="Times New Roman" w:eastAsia="宋体" w:cs="Times New Roman"/>
                <w:color w:val="000000" w:themeColor="text1"/>
                <w:spacing w:val="0"/>
                <w:kern w:val="0"/>
                <w:position w:val="0"/>
                <w:sz w:val="24"/>
                <w:szCs w:val="24"/>
                <w:highlight w:val="none"/>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left="0" w:right="0" w:firstLine="480" w:firstLineChars="200"/>
              <w:jc w:val="left"/>
              <w:textAlignment w:val="auto"/>
              <w:rPr>
                <w:rFonts w:hint="eastAsia" w:ascii="Times New Roman" w:hAnsi="Times New Roman" w:cs="Times New Roman"/>
                <w:color w:val="000000" w:themeColor="text1"/>
                <w:spacing w:val="0"/>
                <w:position w:val="0"/>
                <w:sz w:val="24"/>
                <w14:textFill>
                  <w14:solidFill>
                    <w14:schemeClr w14:val="tx1"/>
                  </w14:solidFill>
                </w14:textFill>
              </w:rPr>
            </w:pPr>
            <w:r>
              <w:rPr>
                <w:rFonts w:hint="default" w:ascii="Times New Roman" w:hAnsi="Times New Roman" w:cs="Times New Roman"/>
                <w:color w:val="000000" w:themeColor="text1"/>
                <w:spacing w:val="0"/>
                <w:position w:val="0"/>
                <w:sz w:val="24"/>
                <w14:textFill>
                  <w14:solidFill>
                    <w14:schemeClr w14:val="tx1"/>
                  </w14:solidFill>
                </w14:textFill>
              </w:rPr>
              <w:t>本项目的总量控制指标为：VOCs</w:t>
            </w:r>
            <w:r>
              <w:rPr>
                <w:rFonts w:hint="eastAsia" w:ascii="Times New Roman" w:hAnsi="Times New Roman" w:cs="Times New Roman"/>
                <w:color w:val="000000" w:themeColor="text1"/>
                <w:spacing w:val="0"/>
                <w:position w:val="0"/>
                <w:sz w:val="24"/>
                <w:lang w:val="en-US" w:eastAsia="zh-CN"/>
                <w14:textFill>
                  <w14:solidFill>
                    <w14:schemeClr w14:val="tx1"/>
                  </w14:solidFill>
                </w14:textFill>
              </w:rPr>
              <w:t>0.</w:t>
            </w:r>
            <w:r>
              <w:rPr>
                <w:rFonts w:hint="eastAsia" w:cs="Times New Roman"/>
                <w:color w:val="000000" w:themeColor="text1"/>
                <w:spacing w:val="0"/>
                <w:position w:val="0"/>
                <w:sz w:val="24"/>
                <w:lang w:val="en-US" w:eastAsia="zh-CN"/>
                <w14:textFill>
                  <w14:solidFill>
                    <w14:schemeClr w14:val="tx1"/>
                  </w14:solidFill>
                </w14:textFill>
              </w:rPr>
              <w:t>207</w:t>
            </w:r>
            <w:r>
              <w:rPr>
                <w:rFonts w:hint="default" w:ascii="Times New Roman" w:hAnsi="Times New Roman" w:cs="Times New Roman"/>
                <w:color w:val="000000" w:themeColor="text1"/>
                <w:spacing w:val="0"/>
                <w:position w:val="0"/>
                <w:sz w:val="24"/>
                <w14:textFill>
                  <w14:solidFill>
                    <w14:schemeClr w14:val="tx1"/>
                  </w14:solidFill>
                </w14:textFill>
              </w:rPr>
              <w:t>t/a。</w:t>
            </w:r>
          </w:p>
        </w:tc>
      </w:tr>
    </w:tbl>
    <w:p>
      <w:pPr>
        <w:pStyle w:val="15"/>
        <w:keepLines w:val="0"/>
        <w:pageBreakBefore w:val="0"/>
        <w:kinsoku/>
        <w:wordWrap w:val="0"/>
        <w:topLinePunct w:val="0"/>
        <w:bidi w:val="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eastAsia="黑体"/>
          <w:snapToGrid w:val="0"/>
          <w:color w:val="000000" w:themeColor="text1"/>
          <w:sz w:val="36"/>
          <w:szCs w:val="36"/>
          <w14:textFill>
            <w14:solidFill>
              <w14:schemeClr w14:val="tx1"/>
            </w14:solidFill>
          </w14:textFill>
        </w:rPr>
        <w:br w:type="page"/>
      </w:r>
      <w:r>
        <w:rPr>
          <w:rFonts w:hint="eastAsia" w:ascii="Times New Roman" w:hAnsi="Times New Roman" w:eastAsia="黑体"/>
          <w:snapToGrid w:val="0"/>
          <w:color w:val="000000" w:themeColor="text1"/>
          <w:sz w:val="30"/>
          <w:szCs w:val="30"/>
          <w14:textFill>
            <w14:solidFill>
              <w14:schemeClr w14:val="tx1"/>
            </w14:solidFill>
          </w14:textFill>
        </w:rPr>
        <w:t>四、主要环境影响和保护措施</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746" w:type="dxa"/>
            <w:noWrap w:val="0"/>
            <w:tcMar>
              <w:left w:w="28" w:type="dxa"/>
              <w:right w:w="28" w:type="dxa"/>
            </w:tcMar>
            <w:vAlign w:val="center"/>
          </w:tcPr>
          <w:p>
            <w:pPr>
              <w:pStyle w:val="15"/>
              <w:keepLines w:val="0"/>
              <w:pageBreakBefore w:val="0"/>
              <w:kinsoku/>
              <w:wordWrap w:val="0"/>
              <w:topLinePunct w:val="0"/>
              <w:bidi w:val="0"/>
              <w:adjustRightInd w:val="0"/>
              <w:snapToGrid w:val="0"/>
              <w:spacing w:before="0" w:beforeAutospacing="0" w:after="0" w:afterAutospacing="0"/>
              <w:jc w:val="center"/>
              <w:rPr>
                <w:rFonts w:hint="eastAsia" w:ascii="Times New Roman" w:hAnsi="Times New Roman" w:cs="宋体"/>
                <w:color w:val="000000" w:themeColor="text1"/>
                <w:kern w:val="2"/>
                <w:sz w:val="21"/>
                <w:szCs w:val="21"/>
                <w14:textFill>
                  <w14:solidFill>
                    <w14:schemeClr w14:val="tx1"/>
                  </w14:solidFill>
                </w14:textFill>
              </w:rPr>
            </w:pPr>
            <w:r>
              <w:rPr>
                <w:rFonts w:hint="eastAsia" w:ascii="Times New Roman" w:hAnsi="Times New Roman" w:cs="宋体"/>
                <w:color w:val="000000" w:themeColor="text1"/>
                <w:kern w:val="2"/>
                <w:sz w:val="21"/>
                <w:szCs w:val="21"/>
                <w14:textFill>
                  <w14:solidFill>
                    <w14:schemeClr w14:val="tx1"/>
                  </w14:solidFill>
                </w14:textFill>
              </w:rPr>
              <w:t>施工</w:t>
            </w:r>
          </w:p>
          <w:p>
            <w:pPr>
              <w:pStyle w:val="15"/>
              <w:keepLines w:val="0"/>
              <w:pageBreakBefore w:val="0"/>
              <w:kinsoku/>
              <w:wordWrap w:val="0"/>
              <w:topLinePunct w:val="0"/>
              <w:bidi w:val="0"/>
              <w:adjustRightInd w:val="0"/>
              <w:snapToGrid w:val="0"/>
              <w:spacing w:before="0" w:beforeAutospacing="0" w:after="0" w:afterAutospacing="0"/>
              <w:jc w:val="center"/>
              <w:rPr>
                <w:rFonts w:hint="eastAsia" w:ascii="Times New Roman" w:hAnsi="Times New Roman" w:cs="宋体"/>
                <w:color w:val="000000" w:themeColor="text1"/>
                <w:kern w:val="2"/>
                <w:sz w:val="21"/>
                <w:szCs w:val="21"/>
                <w14:textFill>
                  <w14:solidFill>
                    <w14:schemeClr w14:val="tx1"/>
                  </w14:solidFill>
                </w14:textFill>
              </w:rPr>
            </w:pPr>
            <w:r>
              <w:rPr>
                <w:rFonts w:hint="eastAsia" w:ascii="Times New Roman" w:hAnsi="Times New Roman" w:cs="宋体"/>
                <w:color w:val="000000" w:themeColor="text1"/>
                <w:kern w:val="2"/>
                <w:sz w:val="21"/>
                <w:szCs w:val="21"/>
                <w14:textFill>
                  <w14:solidFill>
                    <w14:schemeClr w14:val="tx1"/>
                  </w14:solidFill>
                </w14:textFill>
              </w:rPr>
              <w:t>期环</w:t>
            </w:r>
          </w:p>
          <w:p>
            <w:pPr>
              <w:pStyle w:val="15"/>
              <w:keepLines w:val="0"/>
              <w:pageBreakBefore w:val="0"/>
              <w:kinsoku/>
              <w:wordWrap w:val="0"/>
              <w:topLinePunct w:val="0"/>
              <w:bidi w:val="0"/>
              <w:adjustRightInd w:val="0"/>
              <w:snapToGrid w:val="0"/>
              <w:spacing w:before="0" w:beforeAutospacing="0" w:after="0" w:afterAutospacing="0"/>
              <w:jc w:val="center"/>
              <w:rPr>
                <w:rFonts w:hint="eastAsia" w:ascii="Times New Roman" w:hAnsi="Times New Roman" w:cs="宋体"/>
                <w:color w:val="000000" w:themeColor="text1"/>
                <w:kern w:val="2"/>
                <w:sz w:val="21"/>
                <w:szCs w:val="21"/>
                <w14:textFill>
                  <w14:solidFill>
                    <w14:schemeClr w14:val="tx1"/>
                  </w14:solidFill>
                </w14:textFill>
              </w:rPr>
            </w:pPr>
            <w:r>
              <w:rPr>
                <w:rFonts w:hint="eastAsia" w:ascii="Times New Roman" w:hAnsi="Times New Roman" w:cs="宋体"/>
                <w:color w:val="000000" w:themeColor="text1"/>
                <w:kern w:val="2"/>
                <w:sz w:val="21"/>
                <w:szCs w:val="21"/>
                <w14:textFill>
                  <w14:solidFill>
                    <w14:schemeClr w14:val="tx1"/>
                  </w14:solidFill>
                </w14:textFill>
              </w:rPr>
              <w:t>境保</w:t>
            </w:r>
          </w:p>
          <w:p>
            <w:pPr>
              <w:pStyle w:val="15"/>
              <w:keepLines w:val="0"/>
              <w:pageBreakBefore w:val="0"/>
              <w:kinsoku/>
              <w:wordWrap w:val="0"/>
              <w:topLinePunct w:val="0"/>
              <w:bidi w:val="0"/>
              <w:adjustRightInd w:val="0"/>
              <w:snapToGrid w:val="0"/>
              <w:spacing w:before="0" w:beforeAutospacing="0" w:after="0" w:afterAutospacing="0"/>
              <w:jc w:val="center"/>
              <w:rPr>
                <w:rFonts w:hint="eastAsia" w:ascii="Times New Roman" w:hAnsi="Times New Roman" w:cs="宋体"/>
                <w:color w:val="000000" w:themeColor="text1"/>
                <w:kern w:val="2"/>
                <w:sz w:val="21"/>
                <w:szCs w:val="21"/>
                <w14:textFill>
                  <w14:solidFill>
                    <w14:schemeClr w14:val="tx1"/>
                  </w14:solidFill>
                </w14:textFill>
              </w:rPr>
            </w:pPr>
            <w:r>
              <w:rPr>
                <w:rFonts w:hint="eastAsia" w:ascii="Times New Roman" w:hAnsi="Times New Roman" w:cs="宋体"/>
                <w:color w:val="000000" w:themeColor="text1"/>
                <w:kern w:val="2"/>
                <w:sz w:val="21"/>
                <w:szCs w:val="21"/>
                <w14:textFill>
                  <w14:solidFill>
                    <w14:schemeClr w14:val="tx1"/>
                  </w14:solidFill>
                </w14:textFill>
              </w:rPr>
              <w:t>护措</w:t>
            </w:r>
          </w:p>
          <w:p>
            <w:pPr>
              <w:pStyle w:val="15"/>
              <w:keepLines w:val="0"/>
              <w:pageBreakBefore w:val="0"/>
              <w:kinsoku/>
              <w:wordWrap w:val="0"/>
              <w:topLinePunct w:val="0"/>
              <w:bidi w:val="0"/>
              <w:adjustRightInd w:val="0"/>
              <w:snapToGrid w:val="0"/>
              <w:spacing w:before="0" w:beforeAutospacing="0" w:after="0" w:afterAutospacing="0"/>
              <w:jc w:val="center"/>
              <w:rPr>
                <w:rFonts w:hint="eastAsia" w:ascii="Times New Roman" w:hAnsi="Times New Roman" w:cs="宋体"/>
                <w:bCs/>
                <w:color w:val="000000" w:themeColor="text1"/>
                <w:kern w:val="2"/>
                <w:sz w:val="21"/>
                <w:szCs w:val="21"/>
                <w14:textFill>
                  <w14:solidFill>
                    <w14:schemeClr w14:val="tx1"/>
                  </w14:solidFill>
                </w14:textFill>
              </w:rPr>
            </w:pPr>
            <w:r>
              <w:rPr>
                <w:rFonts w:hint="eastAsia" w:ascii="Times New Roman" w:hAnsi="Times New Roman" w:cs="宋体"/>
                <w:color w:val="000000" w:themeColor="text1"/>
                <w:kern w:val="2"/>
                <w:sz w:val="21"/>
                <w:szCs w:val="21"/>
                <w14:textFill>
                  <w14:solidFill>
                    <w14:schemeClr w14:val="tx1"/>
                  </w14:solidFill>
                </w14:textFill>
              </w:rPr>
              <w:t>施</w:t>
            </w:r>
          </w:p>
        </w:tc>
        <w:tc>
          <w:tcPr>
            <w:tcW w:w="8162" w:type="dxa"/>
            <w:noWrap w:val="0"/>
            <w:vAlign w:val="center"/>
          </w:tcPr>
          <w:p>
            <w:pPr>
              <w:keepLines w:val="0"/>
              <w:pageBreakBefore w:val="0"/>
              <w:kinsoku/>
              <w:wordWrap w:val="0"/>
              <w:topLinePunct w:val="0"/>
              <w:bidi w:val="0"/>
              <w:adjustRightInd w:val="0"/>
              <w:snapToGrid w:val="0"/>
              <w:spacing w:line="520" w:lineRule="exact"/>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项目租赁现有车间作为生产场所，不需要新建构筑物，不涉及土石方开挖</w:t>
            </w:r>
            <w:r>
              <w:rPr>
                <w:rFonts w:ascii="Times New Roman" w:hAnsi="Times New Roman"/>
                <w:color w:val="000000" w:themeColor="text1"/>
                <w:sz w:val="24"/>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根据《危险废物贮存污染控制标准》（GB18597-2023）的相关要求，危险废物暂存车间需按下列要求进行防渗处理。</w:t>
            </w:r>
          </w:p>
          <w:p>
            <w:pPr>
              <w:keepLines w:val="0"/>
              <w:pageBreakBefore w:val="0"/>
              <w:kinsoku/>
              <w:wordWrap w:val="0"/>
              <w:topLinePunct w:val="0"/>
              <w:bidi w:val="0"/>
              <w:adjustRightInd w:val="0"/>
              <w:snapToGrid w:val="0"/>
              <w:spacing w:line="520" w:lineRule="exact"/>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（1）地面与裙脚要用坚固、防渗的材料建造，建筑材料必须与危险废物相容。</w:t>
            </w:r>
          </w:p>
          <w:p>
            <w:pPr>
              <w:keepLines w:val="0"/>
              <w:pageBreakBefore w:val="0"/>
              <w:kinsoku/>
              <w:wordWrap w:val="0"/>
              <w:topLinePunct w:val="0"/>
              <w:bidi w:val="0"/>
              <w:adjustRightInd w:val="0"/>
              <w:snapToGrid w:val="0"/>
              <w:spacing w:line="520" w:lineRule="exact"/>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（2）用以存放危险废物容器的地方，必须有耐腐蚀的硬化地面，且表面无裂缝，基础必须防渗，防渗层至少1米厚黏土层（渗透系数</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10</w:t>
            </w:r>
            <w:r>
              <w:rPr>
                <w:rFonts w:hint="eastAsia" w:ascii="Times New Roman" w:hAnsi="Times New Roman"/>
                <w:color w:val="000000" w:themeColor="text1"/>
                <w:sz w:val="24"/>
                <w:vertAlign w:val="superscript"/>
                <w:lang w:val="en-US" w:eastAsia="zh-CN"/>
                <w14:textFill>
                  <w14:solidFill>
                    <w14:schemeClr w14:val="tx1"/>
                  </w14:solidFill>
                </w14:textFill>
              </w:rPr>
              <w:t>-7</w:t>
            </w:r>
            <w:r>
              <w:rPr>
                <w:rFonts w:hint="eastAsia" w:ascii="Times New Roman" w:hAnsi="Times New Roman"/>
                <w:color w:val="000000" w:themeColor="text1"/>
                <w:sz w:val="24"/>
                <w:lang w:val="en-US" w:eastAsia="zh-CN"/>
                <w14:textFill>
                  <w14:solidFill>
                    <w14:schemeClr w14:val="tx1"/>
                  </w14:solidFill>
                </w14:textFill>
              </w:rPr>
              <w:t>厘米/秒），或高2厘米高密度聚乙烯，或至少2毫米厚的其他人工材料，渗透系数</w:t>
            </w:r>
            <w:r>
              <w:rPr>
                <w:rFonts w:hint="default" w:ascii="Times New Roman" w:hAnsi="Times New Roman" w:cs="Times New Roman"/>
                <w:color w:val="000000" w:themeColor="text1"/>
                <w:sz w:val="24"/>
                <w:lang w:val="en-US"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10</w:t>
            </w:r>
            <w:r>
              <w:rPr>
                <w:rFonts w:hint="eastAsia" w:ascii="Times New Roman" w:hAnsi="Times New Roman"/>
                <w:color w:val="000000" w:themeColor="text1"/>
                <w:sz w:val="24"/>
                <w:vertAlign w:val="superscript"/>
                <w:lang w:val="en-US" w:eastAsia="zh-CN"/>
                <w14:textFill>
                  <w14:solidFill>
                    <w14:schemeClr w14:val="tx1"/>
                  </w14:solidFill>
                </w14:textFill>
              </w:rPr>
              <w:t>-10</w:t>
            </w:r>
            <w:r>
              <w:rPr>
                <w:rFonts w:hint="eastAsia" w:ascii="Times New Roman" w:hAnsi="Times New Roman"/>
                <w:color w:val="000000" w:themeColor="text1"/>
                <w:sz w:val="24"/>
                <w:lang w:val="en-US" w:eastAsia="zh-CN"/>
                <w14:textFill>
                  <w14:solidFill>
                    <w14:schemeClr w14:val="tx1"/>
                  </w14:solidFill>
                </w14:textFill>
              </w:rPr>
              <w:t>厘米/秒。</w:t>
            </w:r>
          </w:p>
          <w:p>
            <w:pPr>
              <w:keepLines w:val="0"/>
              <w:pageBreakBefore w:val="0"/>
              <w:kinsoku/>
              <w:wordWrap w:val="0"/>
              <w:topLinePunct w:val="0"/>
              <w:bidi w:val="0"/>
              <w:adjustRightInd w:val="0"/>
              <w:snapToGrid w:val="0"/>
              <w:spacing w:line="520" w:lineRule="exact"/>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本项目施工期需对贮存场所全部进行重点防腐防渗，同时在废铅蓄电池贮存区地面设置导流沟和修建集液池，采用防渗防腐材料建设。针对项目特点，需对贮存场所全部进行重点防腐防渗。</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施工期污染物主要为施工废气、生活污水、噪声以及施工固废。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、废气</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施工期废气主要为厂房隔断装修产生的粉尘，设备运输等作业时产生的燃油废气，产生量较小，经过加强通风，对周围环境影响较小。</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、废水</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施工期产生的废水主要为装修人员的生活污水。生活污水依托黄洋铜业有限公司现有化粪池处理后定期清掏，用于周边农田施肥，对周围环境影响较小。</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、噪声</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施工期产生的噪声主要为厂房隔断，室内装修及设备安装时产生，源强一般在</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60~90dB</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）之间。为减少其对周围声环境影响，建议采取以下措施：</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①在施工设备和方法中加以考虑，尽量采用低噪声机械；</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②应合理安排机械设备运行时间，尽量避免在中午和夜间运行。</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、固废</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cs="宋体"/>
                <w:color w:val="000000" w:themeColor="text1"/>
                <w:kern w:val="0"/>
                <w:sz w:val="24"/>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施工期产生的固废污染主要为装修人员的生活垃圾和建筑垃圾，产生量较小，统一收集后，由环卫部门及时清运至垃圾填埋场。项目施工期产生的固废经有效处置后对周围环境影响较小。</w:t>
            </w:r>
            <w:bookmarkStart w:id="8" w:name="_Toc529434659"/>
            <w:bookmarkEnd w:id="8"/>
            <w:bookmarkStart w:id="9" w:name="_Toc529434664"/>
            <w:bookmarkEnd w:id="9"/>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10" w:hRule="atLeast"/>
          <w:jc w:val="center"/>
        </w:trPr>
        <w:tc>
          <w:tcPr>
            <w:tcW w:w="746" w:type="dxa"/>
            <w:noWrap w:val="0"/>
            <w:tcMar>
              <w:left w:w="28" w:type="dxa"/>
              <w:right w:w="28" w:type="dxa"/>
            </w:tcMar>
            <w:vAlign w:val="center"/>
          </w:tcPr>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运营</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期环</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境影</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响和</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保护</w:t>
            </w:r>
          </w:p>
          <w:p>
            <w:pPr>
              <w:keepLines w:val="0"/>
              <w:pageBreakBefore w:val="0"/>
              <w:kinsoku/>
              <w:wordWrap w:val="0"/>
              <w:topLinePunct w:val="0"/>
              <w:bidi w:val="0"/>
              <w:adjustRightInd w:val="0"/>
              <w:snapToGrid w:val="0"/>
              <w:jc w:val="center"/>
              <w:rPr>
                <w:rFonts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措施</w:t>
            </w:r>
          </w:p>
        </w:tc>
        <w:tc>
          <w:tcPr>
            <w:tcW w:w="8162" w:type="dxa"/>
            <w:noWrap w:val="0"/>
            <w:vAlign w:val="center"/>
          </w:tcPr>
          <w:p>
            <w:pPr>
              <w:keepLines w:val="0"/>
              <w:pageBreakBefore w:val="0"/>
              <w:kinsoku/>
              <w:wordWrap w:val="0"/>
              <w:topLinePunct w:val="0"/>
              <w:bidi w:val="0"/>
              <w:spacing w:line="520" w:lineRule="exact"/>
              <w:rPr>
                <w:rFonts w:ascii="Times New Roman" w:hAnsi="Times New Roman"/>
                <w:b/>
                <w:color w:val="000000" w:themeColor="text1"/>
                <w:sz w:val="24"/>
                <w:szCs w:val="20"/>
                <w14:textFill>
                  <w14:solidFill>
                    <w14:schemeClr w14:val="tx1"/>
                  </w14:solidFill>
                </w14:textFill>
              </w:rPr>
            </w:pPr>
            <w:r>
              <w:rPr>
                <w:rFonts w:ascii="Times New Roman" w:hAnsi="Times New Roman"/>
                <w:b/>
                <w:color w:val="000000" w:themeColor="text1"/>
                <w:sz w:val="24"/>
                <w:szCs w:val="20"/>
                <w14:textFill>
                  <w14:solidFill>
                    <w14:schemeClr w14:val="tx1"/>
                  </w14:solidFill>
                </w14:textFill>
              </w:rPr>
              <w:t>4.1</w:t>
            </w:r>
            <w:r>
              <w:rPr>
                <w:rFonts w:hint="eastAsia" w:ascii="Times New Roman" w:hAnsi="Times New Roman"/>
                <w:b/>
                <w:color w:val="000000" w:themeColor="text1"/>
                <w:sz w:val="24"/>
                <w:szCs w:val="20"/>
                <w:lang w:val="en-US" w:eastAsia="zh-CN"/>
                <w14:textFill>
                  <w14:solidFill>
                    <w14:schemeClr w14:val="tx1"/>
                  </w14:solidFill>
                </w14:textFill>
              </w:rPr>
              <w:t xml:space="preserve"> </w:t>
            </w:r>
            <w:r>
              <w:rPr>
                <w:rFonts w:ascii="Times New Roman" w:hAnsi="Times New Roman"/>
                <w:b/>
                <w:color w:val="000000" w:themeColor="text1"/>
                <w:sz w:val="24"/>
                <w:szCs w:val="20"/>
                <w14:textFill>
                  <w14:solidFill>
                    <w14:schemeClr w14:val="tx1"/>
                  </w14:solidFill>
                </w14:textFill>
              </w:rPr>
              <w:t>废气</w:t>
            </w:r>
          </w:p>
          <w:p>
            <w:pPr>
              <w:keepLines w:val="0"/>
              <w:pageBreakBefore w:val="0"/>
              <w:kinsoku/>
              <w:wordWrap w:val="0"/>
              <w:topLinePunct w:val="0"/>
              <w:bidi w:val="0"/>
              <w:spacing w:line="520" w:lineRule="exact"/>
              <w:rPr>
                <w:rFonts w:hint="eastAsia" w:ascii="Times New Roman" w:hAnsi="Times New Roman"/>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4.1.1 源强核算</w:t>
            </w:r>
          </w:p>
          <w:p>
            <w:pPr>
              <w:keepLines w:val="0"/>
              <w:pageBreakBefore w:val="0"/>
              <w:kinsoku/>
              <w:wordWrap w:val="0"/>
              <w:topLinePunct w:val="0"/>
              <w:bidi w:val="0"/>
              <w:spacing w:line="520" w:lineRule="exact"/>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（1）有机废气</w:t>
            </w:r>
          </w:p>
          <w:p>
            <w:pPr>
              <w:keepLines w:val="0"/>
              <w:pageBreakBefore w:val="0"/>
              <w:kinsoku/>
              <w:wordWrap w:val="0"/>
              <w:topLinePunct w:val="0"/>
              <w:bidi w:val="0"/>
              <w:spacing w:line="520" w:lineRule="exact"/>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依据项目主要收集贮存的危废种类及来源，确定项目营运期有机废气主要为HW08</w:t>
            </w:r>
            <w:r>
              <w:rPr>
                <w:rFonts w:hint="eastAsia"/>
                <w:color w:val="000000" w:themeColor="text1"/>
                <w:sz w:val="24"/>
                <w:lang w:val="en-US" w:eastAsia="zh-CN"/>
                <w14:textFill>
                  <w14:solidFill>
                    <w14:schemeClr w14:val="tx1"/>
                  </w14:solidFill>
                </w14:textFill>
              </w:rPr>
              <w:t>装卸</w:t>
            </w:r>
            <w:r>
              <w:rPr>
                <w:rFonts w:hint="eastAsia" w:ascii="Times New Roman" w:hAnsi="Times New Roman"/>
                <w:color w:val="000000" w:themeColor="text1"/>
                <w:sz w:val="24"/>
                <w:lang w:val="en-US" w:eastAsia="zh-CN"/>
                <w14:textFill>
                  <w14:solidFill>
                    <w14:schemeClr w14:val="tx1"/>
                  </w14:solidFill>
                </w14:textFill>
              </w:rPr>
              <w:t>、储存过程产生的有机废气，评价因子取非甲烷总烃。</w:t>
            </w:r>
          </w:p>
          <w:p>
            <w:pPr>
              <w:keepLines w:val="0"/>
              <w:pageBreakBefore w:val="0"/>
              <w:kinsoku/>
              <w:wordWrap w:val="0"/>
              <w:topLinePunct w:val="0"/>
              <w:bidi w:val="0"/>
              <w:spacing w:line="520" w:lineRule="exact"/>
              <w:ind w:firstLine="480" w:firstLineChars="200"/>
              <w:rPr>
                <w:rFonts w:hint="eastAsia" w:ascii="Times New Roman" w:hAnsi="Times New Roman" w:eastAsia="宋体" w:cs="Times New Roman"/>
                <w:color w:val="000000" w:themeColor="text1"/>
                <w:sz w:val="24"/>
                <w:szCs w:val="24"/>
                <w14:textFill>
                  <w14:solidFill>
                    <w14:schemeClr w14:val="tx1"/>
                  </w14:solidFill>
                </w14:textFill>
              </w:rPr>
            </w:pPr>
            <w:r>
              <w:rPr>
                <w:rFonts w:hint="eastAsia"/>
                <w:color w:val="000000" w:themeColor="text1"/>
                <w:sz w:val="24"/>
                <w:lang w:val="en-US" w:eastAsia="zh-CN"/>
                <w14:textFill>
                  <w14:solidFill>
                    <w14:schemeClr w14:val="tx1"/>
                  </w14:solidFill>
                </w14:textFill>
              </w:rPr>
              <w:t>①</w:t>
            </w:r>
            <w:r>
              <w:rPr>
                <w:rFonts w:hint="eastAsia" w:ascii="Times New Roman" w:hAnsi="Times New Roman"/>
                <w:color w:val="000000" w:themeColor="text1"/>
                <w:sz w:val="24"/>
                <w:lang w:val="en-US" w:eastAsia="zh-CN"/>
                <w14:textFill>
                  <w14:solidFill>
                    <w14:schemeClr w14:val="tx1"/>
                  </w14:solidFill>
                </w14:textFill>
              </w:rPr>
              <w:t>HW08</w:t>
            </w:r>
            <w:r>
              <w:rPr>
                <w:rFonts w:hint="eastAsia"/>
                <w:color w:val="000000" w:themeColor="text1"/>
                <w:sz w:val="24"/>
                <w:lang w:val="en-US" w:eastAsia="zh-CN"/>
                <w14:textFill>
                  <w14:solidFill>
                    <w14:schemeClr w14:val="tx1"/>
                  </w14:solidFill>
                </w14:textFill>
              </w:rPr>
              <w:t>危险废物贮存时的有机</w:t>
            </w:r>
            <w:r>
              <w:rPr>
                <w:rFonts w:hint="eastAsia" w:ascii="Times New Roman" w:hAnsi="Times New Roman"/>
                <w:color w:val="000000" w:themeColor="text1"/>
                <w:sz w:val="24"/>
                <w:lang w:val="en-US" w:eastAsia="zh-CN"/>
                <w14:textFill>
                  <w14:solidFill>
                    <w14:schemeClr w14:val="tx1"/>
                  </w14:solidFill>
                </w14:textFill>
              </w:rPr>
              <w:t>废气</w:t>
            </w:r>
            <w:r>
              <w:rPr>
                <w:rFonts w:hint="eastAsia"/>
                <w:color w:val="000000" w:themeColor="text1"/>
                <w:sz w:val="24"/>
                <w:lang w:val="en-US"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本次评价采用类比分析法预测HW08</w:t>
            </w:r>
            <w:r>
              <w:rPr>
                <w:rFonts w:hint="eastAsia"/>
                <w:color w:val="000000" w:themeColor="text1"/>
                <w:sz w:val="24"/>
                <w:lang w:val="en-US" w:eastAsia="zh-CN"/>
                <w14:textFill>
                  <w14:solidFill>
                    <w14:schemeClr w14:val="tx1"/>
                  </w14:solidFill>
                </w14:textFill>
              </w:rPr>
              <w:t>危险废物贮存时的有机</w:t>
            </w:r>
            <w:r>
              <w:rPr>
                <w:rFonts w:hint="eastAsia" w:ascii="Times New Roman" w:hAnsi="Times New Roman"/>
                <w:color w:val="000000" w:themeColor="text1"/>
                <w:sz w:val="24"/>
                <w:lang w:val="en-US" w:eastAsia="zh-CN"/>
                <w14:textFill>
                  <w14:solidFill>
                    <w14:schemeClr w14:val="tx1"/>
                  </w14:solidFill>
                </w14:textFill>
              </w:rPr>
              <w:t>废气产生情况。</w:t>
            </w:r>
            <w:r>
              <w:rPr>
                <w:rFonts w:hint="eastAsia" w:cs="Times New Roman"/>
                <w:color w:val="000000" w:themeColor="text1"/>
                <w:sz w:val="24"/>
                <w:szCs w:val="24"/>
                <w:lang w:val="en-US" w:eastAsia="zh-CN"/>
                <w14:textFill>
                  <w14:solidFill>
                    <w14:schemeClr w14:val="tx1"/>
                  </w14:solidFill>
                </w14:textFill>
              </w:rPr>
              <w:t>类比项目情况见下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表</w:t>
            </w:r>
            <w:r>
              <w:rPr>
                <w:rFonts w:hint="eastAsia" w:ascii="Times New Roman" w:hAnsi="Times New Roman" w:eastAsia="宋体" w:cs="Times New Roman"/>
                <w:color w:val="000000" w:themeColor="text1"/>
                <w:sz w:val="24"/>
                <w:szCs w:val="24"/>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sz w:val="21"/>
                <w:szCs w:val="21"/>
                <w:lang w:val="en-US" w:eastAsia="zh-CN"/>
                <w14:textFill>
                  <w14:solidFill>
                    <w14:schemeClr w14:val="tx1"/>
                  </w14:solidFill>
                </w14:textFill>
              </w:rPr>
            </w:pPr>
            <w:r>
              <w:rPr>
                <w:rFonts w:hint="eastAsia" w:ascii="Times New Roman" w:hAnsi="Times New Roman" w:eastAsia="宋体" w:cs="Times New Roman"/>
                <w:b/>
                <w:bCs/>
                <w:color w:val="000000" w:themeColor="text1"/>
                <w:sz w:val="21"/>
                <w:szCs w:val="21"/>
                <w:lang w:val="en-US" w:eastAsia="zh-CN"/>
                <w14:textFill>
                  <w14:solidFill>
                    <w14:schemeClr w14:val="tx1"/>
                  </w14:solidFill>
                </w14:textFill>
              </w:rPr>
              <w:t>表4-1  类比项目情况</w:t>
            </w:r>
            <w:r>
              <w:rPr>
                <w:rFonts w:hint="eastAsia" w:cs="Times New Roman"/>
                <w:b/>
                <w:bCs/>
                <w:color w:val="000000" w:themeColor="text1"/>
                <w:sz w:val="21"/>
                <w:szCs w:val="21"/>
                <w:lang w:val="en-US" w:eastAsia="zh-CN"/>
                <w14:textFill>
                  <w14:solidFill>
                    <w14:schemeClr w14:val="tx1"/>
                  </w14:solidFill>
                </w14:textFill>
              </w:rPr>
              <w:t>一览表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89"/>
              <w:gridCol w:w="620"/>
              <w:gridCol w:w="1916"/>
              <w:gridCol w:w="669"/>
              <w:gridCol w:w="636"/>
              <w:gridCol w:w="453"/>
              <w:gridCol w:w="460"/>
              <w:gridCol w:w="437"/>
              <w:gridCol w:w="452"/>
              <w:gridCol w:w="593"/>
              <w:gridCol w:w="621"/>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10" w:hRule="atLeast"/>
              </w:trPr>
              <w:tc>
                <w:tcPr>
                  <w:tcW w:w="68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项目名称</w:t>
                  </w:r>
                </w:p>
              </w:tc>
              <w:tc>
                <w:tcPr>
                  <w:tcW w:w="39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建设单位</w:t>
                  </w:r>
                </w:p>
              </w:tc>
              <w:tc>
                <w:tcPr>
                  <w:tcW w:w="120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有机废气来源</w:t>
                  </w:r>
                </w:p>
              </w:tc>
              <w:tc>
                <w:tcPr>
                  <w:tcW w:w="421"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贮存数量</w:t>
                  </w:r>
                </w:p>
              </w:tc>
              <w:tc>
                <w:tcPr>
                  <w:tcW w:w="40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环保措施</w:t>
                  </w:r>
                </w:p>
              </w:tc>
              <w:tc>
                <w:tcPr>
                  <w:tcW w:w="1133" w:type="pct"/>
                  <w:gridSpan w:val="4"/>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有组织</w:t>
                  </w:r>
                </w:p>
              </w:tc>
              <w:tc>
                <w:tcPr>
                  <w:tcW w:w="373"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监测时间</w:t>
                  </w:r>
                </w:p>
              </w:tc>
              <w:tc>
                <w:tcPr>
                  <w:tcW w:w="390"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监测单位</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809" w:hRule="atLeast"/>
              </w:trPr>
              <w:tc>
                <w:tcPr>
                  <w:tcW w:w="68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p>
              </w:tc>
              <w:tc>
                <w:tcPr>
                  <w:tcW w:w="39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p>
              </w:tc>
              <w:tc>
                <w:tcPr>
                  <w:tcW w:w="120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p>
              </w:tc>
              <w:tc>
                <w:tcPr>
                  <w:tcW w:w="421"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p>
              </w:tc>
              <w:tc>
                <w:tcPr>
                  <w:tcW w:w="40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p>
              </w:tc>
              <w:tc>
                <w:tcPr>
                  <w:tcW w:w="28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排放速率</w:t>
                  </w:r>
                </w:p>
              </w:tc>
              <w:tc>
                <w:tcPr>
                  <w:tcW w:w="28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排放浓度</w:t>
                  </w:r>
                </w:p>
              </w:tc>
              <w:tc>
                <w:tcPr>
                  <w:tcW w:w="27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排放量</w:t>
                  </w:r>
                </w:p>
              </w:tc>
              <w:tc>
                <w:tcPr>
                  <w:tcW w:w="28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2"/>
                      <w:sz w:val="18"/>
                      <w:szCs w:val="18"/>
                      <w:vertAlign w:val="baseline"/>
                      <w:lang w:val="en-US" w:eastAsia="zh-CN" w:bidi="ar-SA"/>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废气量</w:t>
                  </w:r>
                </w:p>
              </w:tc>
              <w:tc>
                <w:tcPr>
                  <w:tcW w:w="373"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p>
              </w:tc>
              <w:tc>
                <w:tcPr>
                  <w:tcW w:w="390"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sz w:val="18"/>
                      <w:szCs w:val="18"/>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邹城市森海环保科技有限公司贮存、转运5000吨危废项目（一期）</w:t>
                  </w:r>
                </w:p>
              </w:tc>
              <w:tc>
                <w:tcPr>
                  <w:tcW w:w="39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邹城市森海环保科技有限公司</w:t>
                  </w:r>
                </w:p>
              </w:tc>
              <w:tc>
                <w:tcPr>
                  <w:tcW w:w="120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HW08废矿物油与含矿物油废物、HW09油水、烃水混合物或乳化液、HW12燃料、涂料废物、HW13有机树脂类废物、HW45含有机卤化物废物等贮存产生的有机废气</w:t>
                  </w:r>
                </w:p>
              </w:tc>
              <w:tc>
                <w:tcPr>
                  <w:tcW w:w="42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2000t/a</w:t>
                  </w:r>
                </w:p>
              </w:tc>
              <w:tc>
                <w:tcPr>
                  <w:tcW w:w="40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集气装置+UV光氧+15m排气筒</w:t>
                  </w:r>
                </w:p>
              </w:tc>
              <w:tc>
                <w:tcPr>
                  <w:tcW w:w="28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0.026kg/h</w:t>
                  </w:r>
                </w:p>
              </w:tc>
              <w:tc>
                <w:tcPr>
                  <w:tcW w:w="289"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2.94mg/m</w:t>
                  </w:r>
                  <w:r>
                    <w:rPr>
                      <w:rFonts w:hint="eastAsia" w:cs="Times New Roman"/>
                      <w:color w:val="000000" w:themeColor="text1"/>
                      <w:sz w:val="18"/>
                      <w:szCs w:val="18"/>
                      <w:vertAlign w:val="superscript"/>
                      <w:lang w:val="en-US" w:eastAsia="zh-CN"/>
                      <w14:textFill>
                        <w14:solidFill>
                          <w14:schemeClr w14:val="tx1"/>
                        </w14:solidFill>
                      </w14:textFill>
                    </w:rPr>
                    <w:t>3</w:t>
                  </w:r>
                </w:p>
              </w:tc>
              <w:tc>
                <w:tcPr>
                  <w:tcW w:w="27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0.186t/a</w:t>
                  </w:r>
                </w:p>
              </w:tc>
              <w:tc>
                <w:tcPr>
                  <w:tcW w:w="28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8800m</w:t>
                  </w:r>
                  <w:r>
                    <w:rPr>
                      <w:rFonts w:hint="eastAsia" w:cs="Times New Roman"/>
                      <w:color w:val="000000" w:themeColor="text1"/>
                      <w:sz w:val="18"/>
                      <w:szCs w:val="18"/>
                      <w:vertAlign w:val="superscript"/>
                      <w:lang w:val="en-US" w:eastAsia="zh-CN"/>
                      <w14:textFill>
                        <w14:solidFill>
                          <w14:schemeClr w14:val="tx1"/>
                        </w14:solidFill>
                      </w14:textFill>
                    </w:rPr>
                    <w:t>3</w:t>
                  </w:r>
                  <w:r>
                    <w:rPr>
                      <w:rFonts w:hint="eastAsia" w:cs="Times New Roman"/>
                      <w:color w:val="000000" w:themeColor="text1"/>
                      <w:sz w:val="18"/>
                      <w:szCs w:val="18"/>
                      <w:vertAlign w:val="baseline"/>
                      <w:lang w:val="en-US" w:eastAsia="zh-CN"/>
                      <w14:textFill>
                        <w14:solidFill>
                          <w14:schemeClr w14:val="tx1"/>
                        </w14:solidFill>
                      </w14:textFill>
                    </w:rPr>
                    <w:t>/h</w:t>
                  </w:r>
                </w:p>
              </w:tc>
              <w:tc>
                <w:tcPr>
                  <w:tcW w:w="37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2019年4月3日~4月4日</w:t>
                  </w:r>
                </w:p>
              </w:tc>
              <w:tc>
                <w:tcPr>
                  <w:tcW w:w="39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sz w:val="18"/>
                      <w:szCs w:val="18"/>
                      <w:vertAlign w:val="baseline"/>
                      <w:lang w:val="en-US" w:eastAsia="zh-CN"/>
                      <w14:textFill>
                        <w14:solidFill>
                          <w14:schemeClr w14:val="tx1"/>
                        </w14:solidFill>
                      </w14:textFill>
                    </w:rPr>
                  </w:pPr>
                  <w:r>
                    <w:rPr>
                      <w:rFonts w:hint="eastAsia" w:cs="Times New Roman"/>
                      <w:color w:val="000000" w:themeColor="text1"/>
                      <w:sz w:val="18"/>
                      <w:szCs w:val="18"/>
                      <w:vertAlign w:val="baseline"/>
                      <w:lang w:val="en-US" w:eastAsia="zh-CN"/>
                      <w14:textFill>
                        <w14:solidFill>
                          <w14:schemeClr w14:val="tx1"/>
                        </w14:solidFill>
                      </w14:textFill>
                    </w:rPr>
                    <w:t>山东鲁美克环境工程有限公司</w:t>
                  </w:r>
                </w:p>
              </w:tc>
            </w:tr>
          </w:tbl>
          <w:p>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jc w:val="both"/>
              <w:textAlignment w:val="auto"/>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参考《第二次全国污染源普查产排污量核算系数手册》，UV光氧催化设备处理有机废气处理效率取40%进行计算，则</w:t>
            </w:r>
            <w:r>
              <w:rPr>
                <w:rFonts w:hint="eastAsia" w:cs="Times New Roman"/>
                <w:b w:val="0"/>
                <w:bCs w:val="0"/>
                <w:color w:val="000000" w:themeColor="text1"/>
                <w:sz w:val="24"/>
                <w:szCs w:val="24"/>
                <w:highlight w:val="none"/>
                <w:u w:val="none"/>
                <w:lang w:val="en-US" w:eastAsia="zh-CN"/>
                <w14:textFill>
                  <w14:solidFill>
                    <w14:schemeClr w14:val="tx1"/>
                  </w14:solidFill>
                </w14:textFill>
              </w:rPr>
              <w:t>贮存</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2000t易产生挥发性有机物的危险废物非甲烷总烃产生量为</w:t>
            </w:r>
            <w:r>
              <w:rPr>
                <w:rFonts w:hint="eastAsia" w:cs="Times New Roman"/>
                <w:b w:val="0"/>
                <w:bCs w:val="0"/>
                <w:color w:val="000000" w:themeColor="text1"/>
                <w:sz w:val="24"/>
                <w:szCs w:val="24"/>
                <w:highlight w:val="none"/>
                <w:u w:val="none"/>
                <w:lang w:val="en-US" w:eastAsia="zh-CN"/>
                <w14:textFill>
                  <w14:solidFill>
                    <w14:schemeClr w14:val="tx1"/>
                  </w14:solidFill>
                </w14:textFill>
              </w:rPr>
              <w:t>0.31t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，即非甲烷总烃产污系数0.15</w:t>
            </w:r>
            <w:r>
              <w:rPr>
                <w:rFonts w:hint="eastAsia" w:cs="Times New Roman"/>
                <w:b w:val="0"/>
                <w:bCs w:val="0"/>
                <w:color w:val="000000" w:themeColor="text1"/>
                <w:sz w:val="24"/>
                <w:szCs w:val="24"/>
                <w:highlight w:val="none"/>
                <w:u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kg/t-</w:t>
            </w:r>
            <w:r>
              <w:rPr>
                <w:rFonts w:hint="eastAsia" w:cs="Times New Roman"/>
                <w:b w:val="0"/>
                <w:bCs w:val="0"/>
                <w:color w:val="000000" w:themeColor="text1"/>
                <w:sz w:val="24"/>
                <w:szCs w:val="24"/>
                <w:highlight w:val="none"/>
                <w:u w:val="none"/>
                <w:lang w:val="en-US" w:eastAsia="zh-CN"/>
                <w14:textFill>
                  <w14:solidFill>
                    <w14:schemeClr w14:val="tx1"/>
                  </w14:solidFill>
                </w14:textFill>
              </w:rPr>
              <w:t>贮存</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量。</w:t>
            </w:r>
          </w:p>
          <w:p>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jc w:val="both"/>
              <w:textAlignment w:val="auto"/>
              <w:rPr>
                <w:rFonts w:hint="default" w:ascii="Times New Roman" w:hAnsi="Times New Roman" w:eastAsia="宋体" w:cs="Times New Roman"/>
                <w:b w:val="0"/>
                <w:bCs w:val="0"/>
                <w:color w:val="000000" w:themeColor="text1"/>
                <w:sz w:val="24"/>
                <w:highlight w:val="none"/>
                <w:u w:val="none"/>
                <w14:textFill>
                  <w14:solidFill>
                    <w14:schemeClr w14:val="tx1"/>
                  </w14:solidFill>
                </w14:textFill>
              </w:rPr>
            </w:pPr>
            <w:r>
              <w:rPr>
                <w:rFonts w:hint="eastAsia" w:cs="Times New Roman"/>
                <w:b w:val="0"/>
                <w:bCs w:val="0"/>
                <w:color w:val="000000" w:themeColor="text1"/>
                <w:sz w:val="24"/>
                <w:szCs w:val="24"/>
                <w:highlight w:val="none"/>
                <w:u w:val="none"/>
                <w:lang w:val="en-US" w:eastAsia="zh-CN"/>
                <w14:textFill>
                  <w14:solidFill>
                    <w14:schemeClr w14:val="tx1"/>
                  </w14:solidFill>
                </w14:textFill>
              </w:rPr>
              <w:t>本项目</w:t>
            </w:r>
            <w:r>
              <w:rPr>
                <w:rFonts w:hint="eastAsia" w:ascii="Times New Roman" w:hAnsi="Times New Roman"/>
                <w:color w:val="000000" w:themeColor="text1"/>
                <w:sz w:val="24"/>
                <w:lang w:val="en-US" w:eastAsia="zh-CN"/>
                <w14:textFill>
                  <w14:solidFill>
                    <w14:schemeClr w14:val="tx1"/>
                  </w14:solidFill>
                </w14:textFill>
              </w:rPr>
              <w:t>HW08</w:t>
            </w:r>
            <w:r>
              <w:rPr>
                <w:rFonts w:hint="eastAsia"/>
                <w:color w:val="000000" w:themeColor="text1"/>
                <w:sz w:val="24"/>
                <w:lang w:val="en-US" w:eastAsia="zh-CN"/>
                <w14:textFill>
                  <w14:solidFill>
                    <w14:schemeClr w14:val="tx1"/>
                  </w14:solidFill>
                </w14:textFill>
              </w:rPr>
              <w:t>类危险废物最大贮存量为10000t/a，</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厂房</w:t>
            </w:r>
            <w:r>
              <w:rPr>
                <w:rFonts w:hint="eastAsia" w:cs="Times New Roman"/>
                <w:b w:val="0"/>
                <w:bCs w:val="0"/>
                <w:color w:val="000000" w:themeColor="text1"/>
                <w:sz w:val="24"/>
                <w:szCs w:val="24"/>
                <w:highlight w:val="none"/>
                <w:u w:val="none"/>
                <w:lang w:val="en-US" w:eastAsia="zh-CN"/>
                <w14:textFill>
                  <w14:solidFill>
                    <w14:schemeClr w14:val="tx1"/>
                  </w14:solidFill>
                </w14:textFill>
              </w:rPr>
              <w:t>内二次</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密闭，</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产生</w:t>
            </w:r>
            <w:r>
              <w:rPr>
                <w:rFonts w:hint="eastAsia" w:cs="Times New Roman"/>
                <w:b w:val="0"/>
                <w:bCs w:val="0"/>
                <w:color w:val="000000" w:themeColor="text1"/>
                <w:sz w:val="24"/>
                <w:szCs w:val="24"/>
                <w:highlight w:val="none"/>
                <w:u w:val="none"/>
                <w:lang w:val="en-US" w:eastAsia="zh-CN"/>
                <w14:textFill>
                  <w14:solidFill>
                    <w14:schemeClr w14:val="tx1"/>
                  </w14:solidFill>
                </w14:textFill>
              </w:rPr>
              <w:t>的有机</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废气经</w:t>
            </w:r>
            <w:r>
              <w:rPr>
                <w:rFonts w:hint="eastAsia" w:cs="Times New Roman"/>
                <w:b w:val="0"/>
                <w:bCs w:val="0"/>
                <w:color w:val="000000" w:themeColor="text1"/>
                <w:sz w:val="24"/>
                <w:szCs w:val="24"/>
                <w:highlight w:val="none"/>
                <w:u w:val="none"/>
                <w:lang w:val="en-US" w:eastAsia="zh-CN"/>
                <w14:textFill>
                  <w14:solidFill>
                    <w14:schemeClr w14:val="tx1"/>
                  </w14:solidFill>
                </w14:textFill>
              </w:rPr>
              <w:t>负压抽风，通过</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管道引入</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活性炭吸附</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+催化燃烧</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装置处理后，通过15m高排气筒排放，废气的收集率为</w:t>
            </w:r>
            <w:r>
              <w:rPr>
                <w:rFonts w:hint="eastAsia" w:cs="Times New Roman"/>
                <w:b w:val="0"/>
                <w:bCs w:val="0"/>
                <w:color w:val="000000" w:themeColor="text1"/>
                <w:sz w:val="24"/>
                <w:szCs w:val="24"/>
                <w:highlight w:val="none"/>
                <w:u w:val="none"/>
                <w:lang w:val="en-US" w:eastAsia="zh-CN"/>
                <w14:textFill>
                  <w14:solidFill>
                    <w14:schemeClr w14:val="tx1"/>
                  </w14:solidFill>
                </w14:textFill>
              </w:rPr>
              <w:t>95</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，废气</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处理</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效率为</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9</w:t>
            </w:r>
            <w:r>
              <w:rPr>
                <w:rFonts w:hint="eastAsia" w:cs="Times New Roman"/>
                <w:b w:val="0"/>
                <w:bCs w:val="0"/>
                <w:color w:val="000000" w:themeColor="text1"/>
                <w:sz w:val="24"/>
                <w:szCs w:val="24"/>
                <w:highlight w:val="none"/>
                <w:u w:val="none"/>
                <w:lang w:val="en-US" w:eastAsia="zh-CN"/>
                <w14:textFill>
                  <w14:solidFill>
                    <w14:schemeClr w14:val="tx1"/>
                  </w14:solidFill>
                </w14:textFill>
              </w:rPr>
              <w:t>8</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，年工作3</w:t>
            </w:r>
            <w:r>
              <w:rPr>
                <w:rFonts w:hint="eastAsia" w:ascii="Times New Roman" w:hAnsi="Times New Roman" w:eastAsia="宋体" w:cs="Times New Roman"/>
                <w:b w:val="0"/>
                <w:bCs w:val="0"/>
                <w:color w:val="000000" w:themeColor="text1"/>
                <w:sz w:val="24"/>
                <w:u w:val="none"/>
                <w:lang w:val="en-US" w:eastAsia="zh-CN"/>
                <w14:textFill>
                  <w14:solidFill>
                    <w14:schemeClr w14:val="tx1"/>
                  </w14:solidFill>
                </w14:textFill>
              </w:rPr>
              <w:t>6</w:t>
            </w:r>
            <w:r>
              <w:rPr>
                <w:rFonts w:hint="eastAsia" w:cs="Times New Roman"/>
                <w:b w:val="0"/>
                <w:bCs w:val="0"/>
                <w:color w:val="000000" w:themeColor="text1"/>
                <w:sz w:val="24"/>
                <w:u w:val="none"/>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天，每天</w:t>
            </w:r>
            <w:r>
              <w:rPr>
                <w:rFonts w:hint="eastAsia" w:cs="Times New Roman"/>
                <w:b w:val="0"/>
                <w:bCs w:val="0"/>
                <w:color w:val="000000" w:themeColor="text1"/>
                <w:sz w:val="24"/>
                <w:u w:val="none"/>
                <w:lang w:val="en-US" w:eastAsia="zh-CN"/>
                <w14:textFill>
                  <w14:solidFill>
                    <w14:schemeClr w14:val="tx1"/>
                  </w14:solidFill>
                </w14:textFill>
              </w:rPr>
              <w:t>24</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小时，</w:t>
            </w:r>
            <w:r>
              <w:rPr>
                <w:rFonts w:hint="default" w:ascii="Times New Roman" w:hAnsi="Times New Roman" w:eastAsia="宋体" w:cs="Times New Roman"/>
                <w:b w:val="0"/>
                <w:bCs w:val="0"/>
                <w:color w:val="000000" w:themeColor="text1"/>
                <w:sz w:val="24"/>
                <w:highlight w:val="none"/>
                <w:u w:val="none"/>
                <w14:textFill>
                  <w14:solidFill>
                    <w14:schemeClr w14:val="tx1"/>
                  </w14:solidFill>
                </w14:textFill>
              </w:rPr>
              <w:t>风机风量为</w:t>
            </w:r>
            <w:r>
              <w:rPr>
                <w:rFonts w:hint="eastAsia" w:cs="Times New Roman"/>
                <w:b w:val="0"/>
                <w:bCs w:val="0"/>
                <w:color w:val="000000" w:themeColor="text1"/>
                <w:sz w:val="24"/>
                <w:highlight w:val="none"/>
                <w:u w:val="none"/>
                <w:lang w:val="en-US" w:eastAsia="zh-CN"/>
                <w14:textFill>
                  <w14:solidFill>
                    <w14:schemeClr w14:val="tx1"/>
                  </w14:solidFill>
                </w14:textFill>
              </w:rPr>
              <w:t>2000</w:t>
            </w:r>
            <w:r>
              <w:rPr>
                <w:rFonts w:hint="default" w:ascii="Times New Roman" w:hAnsi="Times New Roman" w:eastAsia="宋体" w:cs="Times New Roman"/>
                <w:b w:val="0"/>
                <w:bCs w:val="0"/>
                <w:color w:val="000000" w:themeColor="text1"/>
                <w:sz w:val="24"/>
                <w:highlight w:val="none"/>
                <w:u w:val="none"/>
                <w14:textFill>
                  <w14:solidFill>
                    <w14:schemeClr w14:val="tx1"/>
                  </w14:solidFill>
                </w14:textFill>
              </w:rPr>
              <w:t>m</w:t>
            </w:r>
            <w:r>
              <w:rPr>
                <w:rFonts w:hint="default" w:ascii="Times New Roman" w:hAnsi="Times New Roman" w:eastAsia="宋体" w:cs="Times New Roman"/>
                <w:b w:val="0"/>
                <w:bCs w:val="0"/>
                <w:color w:val="000000" w:themeColor="text1"/>
                <w:sz w:val="24"/>
                <w:highlight w:val="none"/>
                <w:u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highlight w:val="none"/>
                <w:u w:val="none"/>
                <w14:textFill>
                  <w14:solidFill>
                    <w14:schemeClr w14:val="tx1"/>
                  </w14:solidFill>
                </w14:textFill>
              </w:rPr>
              <w:t>/h。</w:t>
            </w:r>
          </w:p>
          <w:p>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jc w:val="both"/>
              <w:textAlignment w:val="auto"/>
              <w:rPr>
                <w:rFonts w:hint="default" w:ascii="Times New Roman" w:hAnsi="Times New Roman" w:eastAsia="宋体" w:cs="Times New Roman"/>
                <w:b w:val="0"/>
                <w:bCs w:val="0"/>
                <w:color w:val="000000" w:themeColor="text1"/>
                <w:sz w:val="24"/>
                <w:highlight w:val="none"/>
                <w:u w:val="none"/>
                <w:lang w:eastAsia="zh-CN"/>
                <w14:textFill>
                  <w14:solidFill>
                    <w14:schemeClr w14:val="tx1"/>
                  </w14:solidFill>
                </w14:textFill>
              </w:rPr>
            </w:pP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项目</w:t>
            </w:r>
            <w:r>
              <w:rPr>
                <w:rFonts w:hint="default" w:ascii="Times New Roman" w:hAnsi="Times New Roman" w:eastAsia="宋体" w:cs="Times New Roman"/>
                <w:b w:val="0"/>
                <w:bCs w:val="0"/>
                <w:color w:val="000000" w:themeColor="text1"/>
                <w:sz w:val="24"/>
                <w:u w:val="none"/>
                <w14:textFill>
                  <w14:solidFill>
                    <w14:schemeClr w14:val="tx1"/>
                  </w14:solidFill>
                </w14:textFill>
              </w:rPr>
              <w:t>非甲烷总烃产生量为</w:t>
            </w:r>
            <w:r>
              <w:rPr>
                <w:rFonts w:hint="eastAsia" w:cs="Times New Roman"/>
                <w:b w:val="0"/>
                <w:bCs w:val="0"/>
                <w:color w:val="000000" w:themeColor="text1"/>
                <w:sz w:val="24"/>
                <w:u w:val="none"/>
                <w:lang w:val="en-US" w:eastAsia="zh-CN"/>
                <w14:textFill>
                  <w14:solidFill>
                    <w14:schemeClr w14:val="tx1"/>
                  </w14:solidFill>
                </w14:textFill>
              </w:rPr>
              <w:t>1.55</w:t>
            </w:r>
            <w:r>
              <w:rPr>
                <w:rFonts w:hint="eastAsia" w:ascii="Times New Roman" w:hAnsi="Times New Roman" w:eastAsia="宋体" w:cs="Times New Roman"/>
                <w:b w:val="0"/>
                <w:bCs w:val="0"/>
                <w:color w:val="000000" w:themeColor="text1"/>
                <w:sz w:val="24"/>
                <w:u w:val="none"/>
                <w:lang w:val="en-US" w:eastAsia="zh-CN"/>
                <w14:textFill>
                  <w14:solidFill>
                    <w14:schemeClr w14:val="tx1"/>
                  </w14:solidFill>
                </w14:textFill>
              </w:rPr>
              <w:t>t/a</w:t>
            </w:r>
            <w:r>
              <w:rPr>
                <w:rFonts w:hint="default" w:ascii="Times New Roman" w:hAnsi="Times New Roman" w:eastAsia="宋体" w:cs="Times New Roman"/>
                <w:b w:val="0"/>
                <w:bCs w:val="0"/>
                <w:color w:val="000000" w:themeColor="text1"/>
                <w:sz w:val="24"/>
                <w:u w:val="none"/>
                <w14:textFill>
                  <w14:solidFill>
                    <w14:schemeClr w14:val="tx1"/>
                  </w14:solidFill>
                </w14:textFill>
              </w:rPr>
              <w:t>，</w:t>
            </w:r>
            <w:r>
              <w:rPr>
                <w:rFonts w:hint="eastAsia" w:cs="Times New Roman"/>
                <w:b w:val="0"/>
                <w:bCs w:val="0"/>
                <w:color w:val="000000" w:themeColor="text1"/>
                <w:sz w:val="24"/>
                <w:u w:val="none"/>
                <w:lang w:val="en-US" w:eastAsia="zh-CN"/>
                <w14:textFill>
                  <w14:solidFill>
                    <w14:schemeClr w14:val="tx1"/>
                  </w14:solidFill>
                </w14:textFill>
              </w:rPr>
              <w:t>其中</w:t>
            </w:r>
            <w:r>
              <w:rPr>
                <w:rFonts w:hint="default" w:ascii="Times New Roman" w:hAnsi="Times New Roman" w:eastAsia="宋体" w:cs="Times New Roman"/>
                <w:b w:val="0"/>
                <w:bCs w:val="0"/>
                <w:color w:val="000000" w:themeColor="text1"/>
                <w:sz w:val="24"/>
                <w:u w:val="none"/>
                <w14:textFill>
                  <w14:solidFill>
                    <w14:schemeClr w14:val="tx1"/>
                  </w14:solidFill>
                </w14:textFill>
              </w:rPr>
              <w:t>有组织非甲烷总烃产生量为</w:t>
            </w:r>
            <w:r>
              <w:rPr>
                <w:rFonts w:hint="eastAsia" w:cs="Times New Roman"/>
                <w:b w:val="0"/>
                <w:bCs w:val="0"/>
                <w:color w:val="000000" w:themeColor="text1"/>
                <w:sz w:val="24"/>
                <w:u w:val="none"/>
                <w:lang w:val="en-US" w:eastAsia="zh-CN"/>
                <w14:textFill>
                  <w14:solidFill>
                    <w14:schemeClr w14:val="tx1"/>
                  </w14:solidFill>
                </w14:textFill>
              </w:rPr>
              <w:t>1.4725</w:t>
            </w:r>
            <w:r>
              <w:rPr>
                <w:rFonts w:hint="eastAsia" w:ascii="Times New Roman" w:hAnsi="Times New Roman" w:eastAsia="宋体" w:cs="Times New Roman"/>
                <w:b w:val="0"/>
                <w:bCs w:val="0"/>
                <w:color w:val="000000" w:themeColor="text1"/>
                <w:sz w:val="24"/>
                <w:u w:val="none"/>
                <w:lang w:val="en-US" w:eastAsia="zh-CN"/>
                <w14:textFill>
                  <w14:solidFill>
                    <w14:schemeClr w14:val="tx1"/>
                  </w14:solidFill>
                </w14:textFill>
              </w:rPr>
              <w:t>t/a</w:t>
            </w:r>
            <w:r>
              <w:rPr>
                <w:rFonts w:hint="eastAsia" w:cs="Times New Roman"/>
                <w:b w:val="0"/>
                <w:bCs w:val="0"/>
                <w:color w:val="000000" w:themeColor="text1"/>
                <w:sz w:val="24"/>
                <w:u w:val="none"/>
                <w:lang w:val="en-US" w:eastAsia="zh-CN"/>
                <w14:textFill>
                  <w14:solidFill>
                    <w14:schemeClr w14:val="tx1"/>
                  </w14:solidFill>
                </w14:textFill>
              </w:rPr>
              <w:t>，无</w:t>
            </w:r>
            <w:r>
              <w:rPr>
                <w:rFonts w:hint="default" w:ascii="Times New Roman" w:hAnsi="Times New Roman" w:eastAsia="宋体" w:cs="Times New Roman"/>
                <w:b w:val="0"/>
                <w:bCs w:val="0"/>
                <w:color w:val="000000" w:themeColor="text1"/>
                <w:sz w:val="24"/>
                <w:u w:val="none"/>
                <w14:textFill>
                  <w14:solidFill>
                    <w14:schemeClr w14:val="tx1"/>
                  </w14:solidFill>
                </w14:textFill>
              </w:rPr>
              <w:t>组织非甲烷总烃产生量为</w:t>
            </w:r>
            <w:r>
              <w:rPr>
                <w:rFonts w:hint="eastAsia" w:cs="Times New Roman"/>
                <w:b w:val="0"/>
                <w:bCs w:val="0"/>
                <w:color w:val="000000" w:themeColor="text1"/>
                <w:sz w:val="24"/>
                <w:u w:val="none"/>
                <w:lang w:val="en-US" w:eastAsia="zh-CN"/>
                <w14:textFill>
                  <w14:solidFill>
                    <w14:schemeClr w14:val="tx1"/>
                  </w14:solidFill>
                </w14:textFill>
              </w:rPr>
              <w:t>0.0775</w:t>
            </w:r>
            <w:r>
              <w:rPr>
                <w:rFonts w:hint="eastAsia" w:ascii="Times New Roman" w:hAnsi="Times New Roman" w:eastAsia="宋体" w:cs="Times New Roman"/>
                <w:b w:val="0"/>
                <w:bCs w:val="0"/>
                <w:color w:val="000000" w:themeColor="text1"/>
                <w:sz w:val="24"/>
                <w:u w:val="none"/>
                <w:lang w:val="en-US" w:eastAsia="zh-CN"/>
                <w14:textFill>
                  <w14:solidFill>
                    <w14:schemeClr w14:val="tx1"/>
                  </w14:solidFill>
                </w14:textFill>
              </w:rPr>
              <w:t>t/a</w:t>
            </w:r>
            <w:r>
              <w:rPr>
                <w:rFonts w:hint="eastAsia" w:cs="Times New Roman"/>
                <w:b w:val="0"/>
                <w:bCs w:val="0"/>
                <w:color w:val="000000" w:themeColor="text1"/>
                <w:sz w:val="24"/>
                <w:u w:val="none"/>
                <w:lang w:val="en-US" w:eastAsia="zh-CN"/>
                <w14:textFill>
                  <w14:solidFill>
                    <w14:schemeClr w14:val="tx1"/>
                  </w14:solidFill>
                </w14:textFill>
              </w:rPr>
              <w:t>。有组织</w:t>
            </w:r>
            <w:r>
              <w:rPr>
                <w:rFonts w:hint="default" w:ascii="Times New Roman" w:hAnsi="Times New Roman" w:eastAsia="宋体" w:cs="Times New Roman"/>
                <w:b w:val="0"/>
                <w:bCs w:val="0"/>
                <w:color w:val="000000" w:themeColor="text1"/>
                <w:sz w:val="24"/>
                <w:u w:val="none"/>
                <w14:textFill>
                  <w14:solidFill>
                    <w14:schemeClr w14:val="tx1"/>
                  </w14:solidFill>
                </w14:textFill>
              </w:rPr>
              <w:t>产生浓度为</w:t>
            </w:r>
            <w:r>
              <w:rPr>
                <w:rFonts w:hint="eastAsia" w:cs="Times New Roman"/>
                <w:b w:val="0"/>
                <w:bCs w:val="0"/>
                <w:color w:val="000000" w:themeColor="text1"/>
                <w:sz w:val="24"/>
                <w:u w:val="none"/>
                <w:lang w:val="en-US" w:eastAsia="zh-CN"/>
                <w14:textFill>
                  <w14:solidFill>
                    <w14:schemeClr w14:val="tx1"/>
                  </w14:solidFill>
                </w14:textFill>
              </w:rPr>
              <w:t>84.05</w:t>
            </w:r>
            <w:r>
              <w:rPr>
                <w:rFonts w:hint="eastAsia" w:ascii="Times New Roman" w:hAnsi="Times New Roman" w:eastAsia="宋体" w:cs="Times New Roman"/>
                <w:b w:val="0"/>
                <w:bCs w:val="0"/>
                <w:color w:val="000000" w:themeColor="text1"/>
                <w:sz w:val="24"/>
                <w:u w:val="none"/>
                <w:lang w:val="en-US" w:eastAsia="zh-CN"/>
                <w14:textFill>
                  <w14:solidFill>
                    <w14:schemeClr w14:val="tx1"/>
                  </w14:solidFill>
                </w14:textFill>
              </w:rPr>
              <w:t>mg/m</w:t>
            </w:r>
            <w:r>
              <w:rPr>
                <w:rFonts w:hint="eastAsia" w:ascii="Times New Roman" w:hAnsi="Times New Roman" w:eastAsia="宋体" w:cs="Times New Roman"/>
                <w:b w:val="0"/>
                <w:bCs w:val="0"/>
                <w:color w:val="000000" w:themeColor="text1"/>
                <w:sz w:val="24"/>
                <w:u w:val="none"/>
                <w:vertAlign w:val="superscript"/>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z w:val="24"/>
                <w:u w:val="none"/>
                <w14:textFill>
                  <w14:solidFill>
                    <w14:schemeClr w14:val="tx1"/>
                  </w14:solidFill>
                </w14:textFill>
              </w:rPr>
              <w:t>，</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产生速率为</w:t>
            </w:r>
            <w:r>
              <w:rPr>
                <w:rFonts w:hint="eastAsia" w:cs="Times New Roman"/>
                <w:b w:val="0"/>
                <w:bCs w:val="0"/>
                <w:color w:val="000000" w:themeColor="text1"/>
                <w:sz w:val="24"/>
                <w:u w:val="none"/>
                <w:lang w:val="en-US" w:eastAsia="zh-CN"/>
                <w14:textFill>
                  <w14:solidFill>
                    <w14:schemeClr w14:val="tx1"/>
                  </w14:solidFill>
                </w14:textFill>
              </w:rPr>
              <w:t>0.168</w:t>
            </w:r>
            <w:r>
              <w:rPr>
                <w:rFonts w:hint="eastAsia" w:ascii="Times New Roman" w:hAnsi="Times New Roman" w:eastAsia="宋体" w:cs="Times New Roman"/>
                <w:b w:val="0"/>
                <w:bCs w:val="0"/>
                <w:color w:val="000000" w:themeColor="text1"/>
                <w:sz w:val="24"/>
                <w:u w:val="none"/>
                <w:lang w:val="en-US" w:eastAsia="zh-CN"/>
                <w14:textFill>
                  <w14:solidFill>
                    <w14:schemeClr w14:val="tx1"/>
                  </w14:solidFill>
                </w14:textFill>
              </w:rPr>
              <w:t>kg/h</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w:t>
            </w:r>
            <w:r>
              <w:rPr>
                <w:rFonts w:hint="default" w:ascii="Times New Roman" w:hAnsi="Times New Roman" w:eastAsia="宋体" w:cs="Times New Roman"/>
                <w:b w:val="0"/>
                <w:bCs w:val="0"/>
                <w:color w:val="000000" w:themeColor="text1"/>
                <w:sz w:val="24"/>
                <w:u w:val="none"/>
                <w14:textFill>
                  <w14:solidFill>
                    <w14:schemeClr w14:val="tx1"/>
                  </w14:solidFill>
                </w14:textFill>
              </w:rPr>
              <w:t>经</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活性炭吸附+</w:t>
            </w:r>
            <w:r>
              <w:rPr>
                <w:rFonts w:hint="eastAsia"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催化燃烧</w:t>
            </w:r>
            <w:r>
              <w:rPr>
                <w:rFonts w:hint="default" w:ascii="Times New Roman" w:hAnsi="Times New Roman" w:eastAsia="宋体" w:cs="Times New Roman"/>
                <w:b w:val="0"/>
                <w:bCs w:val="0"/>
                <w:color w:val="000000" w:themeColor="text1"/>
                <w:sz w:val="24"/>
                <w:szCs w:val="24"/>
                <w:u w:val="none"/>
                <w:lang w:val="en-US" w:eastAsia="zh-CN"/>
                <w14:textFill>
                  <w14:solidFill>
                    <w14:schemeClr w14:val="tx1"/>
                  </w14:solidFill>
                </w14:textFill>
              </w:rPr>
              <w:t>装置</w:t>
            </w:r>
            <w:r>
              <w:rPr>
                <w:rFonts w:hint="default" w:ascii="Times New Roman" w:hAnsi="Times New Roman" w:eastAsia="宋体" w:cs="Times New Roman"/>
                <w:b w:val="0"/>
                <w:bCs w:val="0"/>
                <w:color w:val="000000" w:themeColor="text1"/>
                <w:sz w:val="24"/>
                <w:u w:val="none"/>
                <w14:textFill>
                  <w14:solidFill>
                    <w14:schemeClr w14:val="tx1"/>
                  </w14:solidFill>
                </w14:textFill>
              </w:rPr>
              <w:t>处理后，</w:t>
            </w:r>
            <w:r>
              <w:rPr>
                <w:rFonts w:hint="default" w:ascii="Times New Roman" w:hAnsi="Times New Roman" w:eastAsia="宋体" w:cs="Times New Roman"/>
                <w:b w:val="0"/>
                <w:bCs w:val="0"/>
                <w:color w:val="000000" w:themeColor="text1"/>
                <w:sz w:val="24"/>
                <w:u w:val="none"/>
                <w14:textFill>
                  <w14:solidFill>
                    <w14:schemeClr w14:val="tx1"/>
                  </w14:solidFill>
                </w14:textFill>
              </w:rPr>
              <w:t>非甲烷总烃</w:t>
            </w:r>
            <w:r>
              <w:rPr>
                <w:rFonts w:hint="eastAsia" w:cs="Times New Roman"/>
                <w:b w:val="0"/>
                <w:bCs w:val="0"/>
                <w:color w:val="000000" w:themeColor="text1"/>
                <w:sz w:val="24"/>
                <w:u w:val="none"/>
                <w:lang w:val="en-US" w:eastAsia="zh-CN"/>
                <w14:textFill>
                  <w14:solidFill>
                    <w14:schemeClr w14:val="tx1"/>
                  </w14:solidFill>
                </w14:textFill>
              </w:rPr>
              <w:t>有组织</w:t>
            </w:r>
            <w:r>
              <w:rPr>
                <w:rFonts w:hint="default" w:ascii="Times New Roman" w:hAnsi="Times New Roman" w:eastAsia="宋体" w:cs="Times New Roman"/>
                <w:b w:val="0"/>
                <w:bCs w:val="0"/>
                <w:color w:val="000000" w:themeColor="text1"/>
                <w:sz w:val="24"/>
                <w:u w:val="none"/>
                <w14:textFill>
                  <w14:solidFill>
                    <w14:schemeClr w14:val="tx1"/>
                  </w14:solidFill>
                </w14:textFill>
              </w:rPr>
              <w:t>排放量为</w:t>
            </w:r>
            <w:r>
              <w:rPr>
                <w:rFonts w:hint="eastAsia" w:cs="Times New Roman"/>
                <w:b w:val="0"/>
                <w:bCs w:val="0"/>
                <w:color w:val="000000" w:themeColor="text1"/>
                <w:sz w:val="24"/>
                <w:u w:val="none"/>
                <w:lang w:val="en-US" w:eastAsia="zh-CN"/>
                <w14:textFill>
                  <w14:solidFill>
                    <w14:schemeClr w14:val="tx1"/>
                  </w14:solidFill>
                </w14:textFill>
              </w:rPr>
              <w:t>0.0295</w:t>
            </w:r>
            <w:r>
              <w:rPr>
                <w:rFonts w:hint="default" w:ascii="Times New Roman" w:hAnsi="Times New Roman" w:eastAsia="宋体" w:cs="Times New Roman"/>
                <w:b w:val="0"/>
                <w:bCs w:val="0"/>
                <w:color w:val="000000" w:themeColor="text1"/>
                <w:sz w:val="24"/>
                <w:u w:val="none"/>
                <w14:textFill>
                  <w14:solidFill>
                    <w14:schemeClr w14:val="tx1"/>
                  </w14:solidFill>
                </w14:textFill>
              </w:rPr>
              <w:t>t/a</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u w:val="none"/>
                <w14:textFill>
                  <w14:solidFill>
                    <w14:schemeClr w14:val="tx1"/>
                  </w14:solidFill>
                </w14:textFill>
              </w:rPr>
              <w:t>排放浓度为</w:t>
            </w:r>
            <w:r>
              <w:rPr>
                <w:rFonts w:hint="eastAsia" w:cs="Times New Roman"/>
                <w:b w:val="0"/>
                <w:bCs w:val="0"/>
                <w:color w:val="000000" w:themeColor="text1"/>
                <w:sz w:val="24"/>
                <w:u w:val="none"/>
                <w:lang w:val="en-US" w:eastAsia="zh-CN"/>
                <w14:textFill>
                  <w14:solidFill>
                    <w14:schemeClr w14:val="tx1"/>
                  </w14:solidFill>
                </w14:textFill>
              </w:rPr>
              <w:t>1.68</w:t>
            </w:r>
            <w:r>
              <w:rPr>
                <w:rFonts w:hint="default" w:ascii="Times New Roman" w:hAnsi="Times New Roman" w:eastAsia="宋体" w:cs="Times New Roman"/>
                <w:b w:val="0"/>
                <w:bCs w:val="0"/>
                <w:color w:val="000000" w:themeColor="text1"/>
                <w:sz w:val="24"/>
                <w:u w:val="none"/>
                <w14:textFill>
                  <w14:solidFill>
                    <w14:schemeClr w14:val="tx1"/>
                  </w14:solidFill>
                </w14:textFill>
              </w:rPr>
              <w:t>mg/m</w:t>
            </w:r>
            <w:r>
              <w:rPr>
                <w:rFonts w:hint="default" w:ascii="Times New Roman" w:hAnsi="Times New Roman" w:eastAsia="宋体" w:cs="Times New Roman"/>
                <w:b w:val="0"/>
                <w:bCs w:val="0"/>
                <w:color w:val="000000" w:themeColor="text1"/>
                <w:sz w:val="24"/>
                <w:u w:val="none"/>
                <w:vertAlign w:val="superscript"/>
                <w14:textFill>
                  <w14:solidFill>
                    <w14:schemeClr w14:val="tx1"/>
                  </w14:solidFill>
                </w14:textFill>
              </w:rPr>
              <w:t>3</w:t>
            </w:r>
            <w:r>
              <w:rPr>
                <w:rFonts w:hint="default" w:ascii="Times New Roman" w:hAnsi="Times New Roman" w:eastAsia="宋体" w:cs="Times New Roman"/>
                <w:b w:val="0"/>
                <w:bCs w:val="0"/>
                <w:color w:val="000000" w:themeColor="text1"/>
                <w:sz w:val="24"/>
                <w:u w:val="none"/>
                <w14:textFill>
                  <w14:solidFill>
                    <w14:schemeClr w14:val="tx1"/>
                  </w14:solidFill>
                </w14:textFill>
              </w:rPr>
              <w:t>，</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排放速率为</w:t>
            </w:r>
            <w:r>
              <w:rPr>
                <w:rFonts w:hint="eastAsia" w:cs="Times New Roman"/>
                <w:b w:val="0"/>
                <w:bCs w:val="0"/>
                <w:color w:val="000000" w:themeColor="text1"/>
                <w:sz w:val="24"/>
                <w:u w:val="none"/>
                <w:lang w:val="en-US" w:eastAsia="zh-CN"/>
                <w14:textFill>
                  <w14:solidFill>
                    <w14:schemeClr w14:val="tx1"/>
                  </w14:solidFill>
                </w14:textFill>
              </w:rPr>
              <w:t>0.003</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kg/h</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u w:val="none"/>
                <w14:textFill>
                  <w14:solidFill>
                    <w14:schemeClr w14:val="tx1"/>
                  </w14:solidFill>
                </w14:textFill>
              </w:rPr>
              <w:t>非甲烷总烃</w:t>
            </w:r>
            <w:r>
              <w:rPr>
                <w:rFonts w:hint="default" w:ascii="Times New Roman" w:hAnsi="Times New Roman" w:eastAsia="宋体" w:cs="Times New Roman"/>
                <w:b w:val="0"/>
                <w:bCs w:val="0"/>
                <w:color w:val="000000" w:themeColor="text1"/>
                <w:sz w:val="24"/>
                <w:u w:val="none"/>
                <w14:textFill>
                  <w14:solidFill>
                    <w14:schemeClr w14:val="tx1"/>
                  </w14:solidFill>
                </w14:textFill>
              </w:rPr>
              <w:t>排放浓度</w:t>
            </w:r>
            <w:r>
              <w:rPr>
                <w:rFonts w:hint="eastAsia" w:ascii="Times New Roman" w:hAnsi="Times New Roman" w:eastAsia="宋体" w:cs="Times New Roman"/>
                <w:b w:val="0"/>
                <w:bCs w:val="0"/>
                <w:color w:val="000000" w:themeColor="text1"/>
                <w:sz w:val="24"/>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u w:val="none"/>
                <w:lang w:val="en-US" w:eastAsia="zh-CN"/>
                <w14:textFill>
                  <w14:solidFill>
                    <w14:schemeClr w14:val="tx1"/>
                  </w14:solidFill>
                </w14:textFill>
              </w:rPr>
              <w:t>排放速率</w:t>
            </w:r>
            <w:r>
              <w:rPr>
                <w:rFonts w:hint="default" w:ascii="Times New Roman" w:hAnsi="Times New Roman" w:eastAsia="宋体" w:cs="Times New Roman"/>
                <w:b w:val="0"/>
                <w:bCs w:val="0"/>
                <w:color w:val="000000" w:themeColor="text1"/>
                <w:sz w:val="24"/>
                <w:u w:val="none"/>
                <w:lang w:val="en-US" w:eastAsia="zh-CN"/>
                <w14:textFill>
                  <w14:solidFill>
                    <w14:schemeClr w14:val="tx1"/>
                  </w14:solidFill>
                </w14:textFill>
              </w:rPr>
              <w:t>及处理效率</w:t>
            </w:r>
            <w:r>
              <w:rPr>
                <w:rFonts w:hint="default" w:ascii="Times New Roman" w:hAnsi="Times New Roman" w:eastAsia="宋体" w:cs="Times New Roman"/>
                <w:b w:val="0"/>
                <w:bCs w:val="0"/>
                <w:color w:val="000000" w:themeColor="text1"/>
                <w:sz w:val="24"/>
                <w:u w:val="none"/>
                <w14:textFill>
                  <w14:solidFill>
                    <w14:schemeClr w14:val="tx1"/>
                  </w14:solidFill>
                </w14:textFill>
              </w:rPr>
              <w:t>可满足《大气污染物综合排放标准》（GB16297-1996）表2二级标准</w:t>
            </w:r>
            <w:r>
              <w:rPr>
                <w:rFonts w:hint="default" w:ascii="Times New Roman" w:hAnsi="Times New Roman" w:eastAsia="宋体" w:cs="Times New Roman"/>
                <w:b w:val="0"/>
                <w:bCs w:val="0"/>
                <w:color w:val="000000" w:themeColor="text1"/>
                <w:sz w:val="24"/>
                <w:u w:val="none"/>
                <w:lang w:eastAsia="zh-CN"/>
                <w14:textFill>
                  <w14:solidFill>
                    <w14:schemeClr w14:val="tx1"/>
                  </w14:solidFill>
                </w14:textFill>
              </w:rPr>
              <w:t>及《关于全省开展工业企业挥发性有机物专项治理工作中排放建议值的通知》（豫环攻坚办[2017]162号）的要求</w:t>
            </w:r>
            <w:r>
              <w:rPr>
                <w:rFonts w:hint="default" w:ascii="Times New Roman" w:hAnsi="Times New Roman" w:eastAsia="宋体" w:cs="Times New Roman"/>
                <w:b w:val="0"/>
                <w:bCs w:val="0"/>
                <w:color w:val="000000" w:themeColor="text1"/>
                <w:sz w:val="24"/>
                <w:highlight w:val="none"/>
                <w:u w:val="none"/>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jc w:val="both"/>
              <w:textAlignment w:val="auto"/>
              <w:rPr>
                <w:rFonts w:hint="default" w:ascii="Times New Roman" w:hAnsi="Times New Roman" w:eastAsia="宋体" w:cs="Times New Roman"/>
                <w:color w:val="000000" w:themeColor="text1"/>
                <w:sz w:val="24"/>
                <w:szCs w:val="24"/>
                <w:lang w:eastAsia="zh-CN"/>
                <w14:textFill>
                  <w14:solidFill>
                    <w14:schemeClr w14:val="tx1"/>
                  </w14:solidFill>
                </w14:textFill>
              </w:rPr>
            </w:pPr>
            <w:r>
              <w:rPr>
                <w:rFonts w:hint="eastAsia" w:cs="Times New Roman"/>
                <w:b w:val="0"/>
                <w:bCs w:val="0"/>
                <w:color w:val="000000" w:themeColor="text1"/>
                <w:sz w:val="24"/>
                <w:highlight w:val="none"/>
                <w:u w:val="none"/>
                <w:lang w:val="en-US" w:eastAsia="zh-CN"/>
                <w14:textFill>
                  <w14:solidFill>
                    <w14:schemeClr w14:val="tx1"/>
                  </w14:solidFill>
                </w14:textFill>
              </w:rPr>
              <w:t>②</w:t>
            </w:r>
            <w:r>
              <w:rPr>
                <w:rFonts w:hint="default" w:ascii="Times New Roman" w:hAnsi="Times New Roman" w:eastAsia="宋体" w:cs="Times New Roman"/>
                <w:b w:val="0"/>
                <w:bCs w:val="0"/>
                <w:color w:val="000000" w:themeColor="text1"/>
                <w:sz w:val="24"/>
                <w:highlight w:val="none"/>
                <w:u w:val="none"/>
                <w:lang w:eastAsia="zh-CN"/>
                <w14:textFill>
                  <w14:solidFill>
                    <w14:schemeClr w14:val="tx1"/>
                  </w14:solidFill>
                </w14:textFill>
              </w:rPr>
              <w:t>装卸过程产生的非甲烷总烃</w:t>
            </w:r>
            <w:r>
              <w:rPr>
                <w:rFonts w:hint="eastAsia" w:ascii="Times New Roman" w:hAnsi="Times New Roman" w:eastAsia="宋体" w:cs="Times New Roman"/>
                <w:b w:val="0"/>
                <w:bCs w:val="0"/>
                <w:color w:val="000000" w:themeColor="text1"/>
                <w:sz w:val="24"/>
                <w:highlight w:val="none"/>
                <w:u w:val="none"/>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油罐车装卸过程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会</w:t>
            </w:r>
            <w:r>
              <w:rPr>
                <w:rFonts w:hint="default" w:ascii="Times New Roman" w:hAnsi="Times New Roman" w:eastAsia="宋体" w:cs="Times New Roman"/>
                <w:color w:val="000000" w:themeColor="text1"/>
                <w:sz w:val="24"/>
                <w:szCs w:val="24"/>
                <w:lang w:eastAsia="zh-CN"/>
                <w14:textFill>
                  <w14:solidFill>
                    <w14:schemeClr w14:val="tx1"/>
                  </w14:solidFill>
                </w14:textFill>
              </w:rPr>
              <w:t>产生少量的非甲烷总烃；废矿物油装卸时通过油泵输送，输送结束时管道内会残留少量的废矿物油，少量通过泵等无组织排放。本项目收集的废矿物油沸点均大于200℃，挥发量较小，</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非甲烷总烃</w:t>
            </w:r>
            <w:r>
              <w:rPr>
                <w:rFonts w:hint="default" w:ascii="Times New Roman" w:hAnsi="Times New Roman" w:eastAsia="宋体" w:cs="Times New Roman"/>
                <w:color w:val="000000" w:themeColor="text1"/>
                <w:sz w:val="24"/>
                <w:szCs w:val="24"/>
                <w:lang w:eastAsia="zh-CN"/>
                <w14:textFill>
                  <w14:solidFill>
                    <w14:schemeClr w14:val="tx1"/>
                  </w14:solidFill>
                </w14:textFill>
              </w:rPr>
              <w:t>排放量约占0.01‰</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原料量</w:t>
            </w:r>
            <w:r>
              <w:rPr>
                <w:rFonts w:hint="default" w:ascii="Times New Roman" w:hAnsi="Times New Roman" w:eastAsia="宋体" w:cs="Times New Roman"/>
                <w:color w:val="000000" w:themeColor="text1"/>
                <w:sz w:val="24"/>
                <w:szCs w:val="24"/>
                <w:lang w:eastAsia="zh-CN"/>
                <w14:textFill>
                  <w14:solidFill>
                    <w14:schemeClr w14:val="tx1"/>
                  </w14:solidFill>
                </w14:textFill>
              </w:rPr>
              <w:t>。本项目</w:t>
            </w:r>
            <w:r>
              <w:rPr>
                <w:rFonts w:hint="default" w:ascii="Times New Roman" w:hAnsi="Times New Roman" w:eastAsia="宋体" w:cs="Times New Roman"/>
                <w:color w:val="000000" w:themeColor="text1"/>
                <w:sz w:val="24"/>
                <w:szCs w:val="24"/>
                <w:lang w:eastAsia="zh-CN"/>
                <w14:textFill>
                  <w14:solidFill>
                    <w14:schemeClr w14:val="tx1"/>
                  </w14:solidFill>
                </w14:textFill>
              </w:rPr>
              <w:t>建成后全厂年周转废矿物油</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10</w:t>
            </w:r>
            <w:r>
              <w:rPr>
                <w:rFonts w:hint="default" w:ascii="Times New Roman" w:hAnsi="Times New Roman" w:eastAsia="宋体" w:cs="Times New Roman"/>
                <w:color w:val="000000" w:themeColor="text1"/>
                <w:sz w:val="24"/>
                <w:szCs w:val="24"/>
                <w:lang w:eastAsia="zh-CN"/>
                <w14:textFill>
                  <w14:solidFill>
                    <w14:schemeClr w14:val="tx1"/>
                  </w14:solidFill>
                </w14:textFill>
              </w:rPr>
              <w:t>000吨，非甲</w:t>
            </w:r>
            <w:r>
              <w:rPr>
                <w:rFonts w:hint="default" w:ascii="Times New Roman" w:hAnsi="Times New Roman" w:eastAsia="宋体" w:cs="Times New Roman"/>
                <w:color w:val="000000" w:themeColor="text1"/>
                <w:sz w:val="24"/>
                <w:szCs w:val="24"/>
                <w:lang w:eastAsia="zh-CN"/>
                <w14:textFill>
                  <w14:solidFill>
                    <w14:schemeClr w14:val="tx1"/>
                  </w14:solidFill>
                </w14:textFill>
              </w:rPr>
              <w:t>烷总烃产生量为0.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1</w:t>
            </w:r>
            <w:r>
              <w:rPr>
                <w:rFonts w:hint="default" w:ascii="Times New Roman" w:hAnsi="Times New Roman" w:eastAsia="宋体" w:cs="Times New Roman"/>
                <w:color w:val="000000" w:themeColor="text1"/>
                <w:sz w:val="24"/>
                <w:szCs w:val="24"/>
                <w:lang w:eastAsia="zh-CN"/>
                <w14:textFill>
                  <w14:solidFill>
                    <w14:schemeClr w14:val="tx1"/>
                  </w14:solidFill>
                </w14:textFill>
              </w:rPr>
              <w:t>t/a。项目</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将</w:t>
            </w:r>
            <w:r>
              <w:rPr>
                <w:rFonts w:hint="default" w:ascii="Times New Roman" w:hAnsi="Times New Roman" w:eastAsia="宋体" w:cs="Times New Roman"/>
                <w:color w:val="000000" w:themeColor="text1"/>
                <w:sz w:val="24"/>
                <w:szCs w:val="24"/>
                <w:lang w:eastAsia="zh-CN"/>
                <w14:textFill>
                  <w14:solidFill>
                    <w14:schemeClr w14:val="tx1"/>
                  </w14:solidFill>
                </w14:textFill>
              </w:rPr>
              <w:t>通过采用封闭型卸料管，制定</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装卸</w:t>
            </w:r>
            <w:r>
              <w:rPr>
                <w:rFonts w:hint="default" w:ascii="Times New Roman" w:hAnsi="Times New Roman" w:eastAsia="宋体" w:cs="Times New Roman"/>
                <w:color w:val="000000" w:themeColor="text1"/>
                <w:sz w:val="24"/>
                <w:szCs w:val="24"/>
                <w:lang w:eastAsia="zh-CN"/>
                <w14:textFill>
                  <w14:solidFill>
                    <w14:schemeClr w14:val="tx1"/>
                  </w14:solidFill>
                </w14:textFill>
              </w:rPr>
              <w:t>运行操作规程</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等，</w:t>
            </w:r>
            <w:r>
              <w:rPr>
                <w:rFonts w:hint="default" w:ascii="Times New Roman" w:hAnsi="Times New Roman" w:eastAsia="宋体" w:cs="Times New Roman"/>
                <w:color w:val="000000" w:themeColor="text1"/>
                <w:sz w:val="24"/>
                <w:szCs w:val="24"/>
                <w:lang w:eastAsia="zh-CN"/>
                <w14:textFill>
                  <w14:solidFill>
                    <w14:schemeClr w14:val="tx1"/>
                  </w14:solidFill>
                </w14:textFill>
              </w:rPr>
              <w:t>减少非甲烷总烃</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无组织</w:t>
            </w:r>
            <w:r>
              <w:rPr>
                <w:rFonts w:hint="default" w:ascii="Times New Roman" w:hAnsi="Times New Roman" w:eastAsia="宋体" w:cs="Times New Roman"/>
                <w:color w:val="000000" w:themeColor="text1"/>
                <w:sz w:val="24"/>
                <w:szCs w:val="24"/>
                <w:lang w:eastAsia="zh-CN"/>
                <w14:textFill>
                  <w14:solidFill>
                    <w14:schemeClr w14:val="tx1"/>
                  </w14:solidFill>
                </w14:textFill>
              </w:rPr>
              <w:t>排放。</w:t>
            </w:r>
          </w:p>
          <w:p>
            <w:pPr>
              <w:keepNext w:val="0"/>
              <w:keepLines w:val="0"/>
              <w:pageBreakBefore w:val="0"/>
              <w:widowControl w:val="0"/>
              <w:kinsoku/>
              <w:wordWrap w:val="0"/>
              <w:overflowPunct/>
              <w:topLinePunct w:val="0"/>
              <w:autoSpaceDE/>
              <w:autoSpaceDN/>
              <w:bidi w:val="0"/>
              <w:adjustRightInd/>
              <w:snapToGrid/>
              <w:spacing w:line="500" w:lineRule="exact"/>
              <w:ind w:left="0" w:leftChars="0" w:firstLine="480" w:firstLineChars="200"/>
              <w:jc w:val="both"/>
              <w:textAlignment w:val="auto"/>
              <w:rPr>
                <w:rFonts w:hint="default" w:ascii="Times New Roman" w:hAnsi="Times New Roman" w:eastAsia="宋体" w:cs="Times New Roman"/>
                <w:b w:val="0"/>
                <w:bCs w:val="0"/>
                <w:color w:val="000000" w:themeColor="text1"/>
                <w:sz w:val="24"/>
                <w:highlight w:val="none"/>
                <w:u w:val="none"/>
                <w:lang w:val="en-US" w:eastAsia="zh-CN"/>
                <w14:textFill>
                  <w14:solidFill>
                    <w14:schemeClr w14:val="tx1"/>
                  </w14:solidFill>
                </w14:textFill>
              </w:rPr>
            </w:pPr>
            <w:r>
              <w:rPr>
                <w:rFonts w:hint="eastAsia" w:cs="Times New Roman"/>
                <w:b w:val="0"/>
                <w:bCs w:val="0"/>
                <w:color w:val="000000" w:themeColor="text1"/>
                <w:sz w:val="24"/>
                <w:highlight w:val="none"/>
                <w:u w:val="none"/>
                <w:lang w:val="en-US" w:eastAsia="zh-CN"/>
                <w14:textFill>
                  <w14:solidFill>
                    <w14:schemeClr w14:val="tx1"/>
                  </w14:solidFill>
                </w14:textFill>
              </w:rPr>
              <w:t>综上，本项目运营期有机废气总排放量为0.207t/a。</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2</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酸雾废气</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由于废铅酸蓄电池中铅基本转化为不可逆硫酸铅，即使有少量二氧化铅也会被腐蚀，包在硫酸铅晶体中，基本不会挥发产生铅尘废气。本项目回收的废旧铅酸蓄电池中会有部分破损蓄电池，破损废旧铅酸蓄电池在暂存过程中泄漏出的电解液会挥发少量的硫酸雾。</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项目年收集、贮存、转运废旧铅酸蓄电池</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万吨，完好的废旧铅酸蓄电池约占总量的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99.9%</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47952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，破损废旧铅酸蓄电池约占总量的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，即</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48</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。破损废旧蓄电池泄漏的电解液定期交由有资质单位处置。破损铅酸蓄电池中电解液含量为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3.36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。根据经验系数，暂存过程中硫酸雾产生系数约为电解液含量的</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，则硫酸雾产生量为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336</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项目废铅蓄电池贮存区在车间内二次密闭，生产过程中产生的酸雾废气采取负压抽风收集，采用碱液喷淋塔进行处理。收集效率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95%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，处理效率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60%</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，有组织产生量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319</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，风机风量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5000m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，产生浓度</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3mg/m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，无组织排放量为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17</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本项目的废气及产生情况见下表。</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表4-2  项目废气污染源</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排放情况</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一览表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17"/>
              <w:gridCol w:w="396"/>
              <w:gridCol w:w="766"/>
              <w:gridCol w:w="698"/>
              <w:gridCol w:w="716"/>
              <w:gridCol w:w="725"/>
              <w:gridCol w:w="423"/>
              <w:gridCol w:w="700"/>
              <w:gridCol w:w="716"/>
              <w:gridCol w:w="735"/>
              <w:gridCol w:w="684"/>
              <w:gridCol w:w="574"/>
              <w:gridCol w:w="39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PrEx>
              <w:tc>
                <w:tcPr>
                  <w:tcW w:w="263"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类别</w:t>
                  </w:r>
                </w:p>
              </w:tc>
              <w:tc>
                <w:tcPr>
                  <w:tcW w:w="249"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污染源</w:t>
                  </w:r>
                </w:p>
              </w:tc>
              <w:tc>
                <w:tcPr>
                  <w:tcW w:w="482"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主要污染物</w:t>
                  </w:r>
                </w:p>
              </w:tc>
              <w:tc>
                <w:tcPr>
                  <w:tcW w:w="1345" w:type="pct"/>
                  <w:gridSpan w:val="3"/>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污染物产生情况</w:t>
                  </w:r>
                </w:p>
              </w:tc>
              <w:tc>
                <w:tcPr>
                  <w:tcW w:w="266"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去除率</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1352" w:type="pct"/>
                  <w:gridSpan w:val="3"/>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排放情况</w:t>
                  </w:r>
                </w:p>
              </w:tc>
              <w:tc>
                <w:tcPr>
                  <w:tcW w:w="791" w:type="pct"/>
                  <w:gridSpan w:val="2"/>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排放限值</w:t>
                  </w:r>
                </w:p>
              </w:tc>
              <w:tc>
                <w:tcPr>
                  <w:tcW w:w="249"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达标情况</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63"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249"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82"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39"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浓度mg/m</w:t>
                  </w:r>
                  <w:r>
                    <w:rPr>
                      <w:rFonts w:hint="eastAsia" w:ascii="Times New Roman" w:hAnsi="Times New Roman" w:eastAsia="宋体" w:cs="Times New Roman"/>
                      <w:color w:val="000000" w:themeColor="text1"/>
                      <w:kern w:val="0"/>
                      <w:sz w:val="18"/>
                      <w:szCs w:val="18"/>
                      <w:vertAlign w:val="superscript"/>
                      <w:lang w:val="en-US" w:eastAsia="zh-CN" w:bidi="ar"/>
                      <w14:textFill>
                        <w14:solidFill>
                          <w14:schemeClr w14:val="tx1"/>
                        </w14:solidFill>
                      </w14:textFill>
                    </w:rPr>
                    <w:t>3</w:t>
                  </w:r>
                </w:p>
              </w:tc>
              <w:tc>
                <w:tcPr>
                  <w:tcW w:w="450"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速率kg/h</w:t>
                  </w:r>
                </w:p>
              </w:tc>
              <w:tc>
                <w:tcPr>
                  <w:tcW w:w="455"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产生量t/a</w:t>
                  </w:r>
                </w:p>
              </w:tc>
              <w:tc>
                <w:tcPr>
                  <w:tcW w:w="266"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40"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浓度mg/m</w:t>
                  </w:r>
                  <w:r>
                    <w:rPr>
                      <w:rFonts w:hint="eastAsia" w:ascii="Times New Roman" w:hAnsi="Times New Roman" w:eastAsia="宋体" w:cs="Times New Roman"/>
                      <w:color w:val="000000" w:themeColor="text1"/>
                      <w:kern w:val="0"/>
                      <w:sz w:val="18"/>
                      <w:szCs w:val="18"/>
                      <w:vertAlign w:val="superscript"/>
                      <w:lang w:val="en-US" w:eastAsia="zh-CN" w:bidi="ar"/>
                      <w14:textFill>
                        <w14:solidFill>
                          <w14:schemeClr w14:val="tx1"/>
                        </w14:solidFill>
                      </w14:textFill>
                    </w:rPr>
                    <w:t>3</w:t>
                  </w:r>
                </w:p>
              </w:tc>
              <w:tc>
                <w:tcPr>
                  <w:tcW w:w="450"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速率kg/h</w:t>
                  </w:r>
                </w:p>
              </w:tc>
              <w:tc>
                <w:tcPr>
                  <w:tcW w:w="46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排放量t/a</w:t>
                  </w:r>
                </w:p>
              </w:tc>
              <w:tc>
                <w:tcPr>
                  <w:tcW w:w="791" w:type="pct"/>
                  <w:gridSpan w:val="2"/>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249"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50" w:hRule="atLeast"/>
              </w:trPr>
              <w:tc>
                <w:tcPr>
                  <w:tcW w:w="263"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249"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82"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39"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55"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266"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4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6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3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浓度mg/m</w:t>
                  </w:r>
                  <w:r>
                    <w:rPr>
                      <w:rFonts w:hint="eastAsia" w:ascii="Times New Roman" w:hAnsi="Times New Roman" w:eastAsia="宋体" w:cs="Times New Roman"/>
                      <w:color w:val="000000" w:themeColor="text1"/>
                      <w:kern w:val="0"/>
                      <w:sz w:val="18"/>
                      <w:szCs w:val="18"/>
                      <w:vertAlign w:val="superscript"/>
                      <w:lang w:val="en-US" w:eastAsia="zh-CN" w:bidi="ar"/>
                      <w14:textFill>
                        <w14:solidFill>
                          <w14:schemeClr w14:val="tx1"/>
                        </w14:solidFill>
                      </w14:textFill>
                    </w:rPr>
                    <w:t>3</w:t>
                  </w:r>
                </w:p>
              </w:tc>
              <w:tc>
                <w:tcPr>
                  <w:tcW w:w="3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速率kg/h</w:t>
                  </w:r>
                </w:p>
              </w:tc>
              <w:tc>
                <w:tcPr>
                  <w:tcW w:w="249"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有组织</w:t>
                  </w: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DA001</w:t>
                  </w:r>
                </w:p>
              </w:tc>
              <w:tc>
                <w:tcPr>
                  <w:tcW w:w="48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非甲烷总烃</w:t>
                  </w:r>
                </w:p>
              </w:tc>
              <w:tc>
                <w:tcPr>
                  <w:tcW w:w="43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84.05</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0.168</w:t>
                  </w:r>
                </w:p>
              </w:tc>
              <w:tc>
                <w:tcPr>
                  <w:tcW w:w="4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1.4725</w:t>
                  </w:r>
                </w:p>
              </w:tc>
              <w:tc>
                <w:tcPr>
                  <w:tcW w:w="26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9</w:t>
                  </w:r>
                  <w:r>
                    <w:rPr>
                      <w:rFonts w:hint="eastAsia" w:cs="Times New Roman"/>
                      <w:color w:val="000000" w:themeColor="text1"/>
                      <w:kern w:val="0"/>
                      <w:sz w:val="18"/>
                      <w:szCs w:val="18"/>
                      <w:vertAlign w:val="baseline"/>
                      <w:lang w:val="en-US" w:eastAsia="zh-CN" w:bidi="ar"/>
                      <w14:textFill>
                        <w14:solidFill>
                          <w14:schemeClr w14:val="tx1"/>
                        </w14:solidFill>
                      </w14:textFill>
                    </w:rPr>
                    <w:t>8</w:t>
                  </w:r>
                </w:p>
              </w:tc>
              <w:tc>
                <w:tcPr>
                  <w:tcW w:w="44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1.68</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0.003</w:t>
                  </w:r>
                </w:p>
              </w:tc>
              <w:tc>
                <w:tcPr>
                  <w:tcW w:w="4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0.0295</w:t>
                  </w:r>
                </w:p>
              </w:tc>
              <w:tc>
                <w:tcPr>
                  <w:tcW w:w="43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120</w:t>
                  </w:r>
                </w:p>
              </w:tc>
              <w:tc>
                <w:tcPr>
                  <w:tcW w:w="3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10</w:t>
                  </w: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DA002</w:t>
                  </w:r>
                </w:p>
              </w:tc>
              <w:tc>
                <w:tcPr>
                  <w:tcW w:w="48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硫酸雾</w:t>
                  </w:r>
                </w:p>
              </w:tc>
              <w:tc>
                <w:tcPr>
                  <w:tcW w:w="43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0.73</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0.00</w:t>
                  </w:r>
                  <w:r>
                    <w:rPr>
                      <w:rFonts w:hint="eastAsia" w:cs="Times New Roman"/>
                      <w:color w:val="000000" w:themeColor="text1"/>
                      <w:kern w:val="0"/>
                      <w:sz w:val="18"/>
                      <w:szCs w:val="18"/>
                      <w:vertAlign w:val="baseline"/>
                      <w:lang w:val="en-US" w:eastAsia="zh-CN" w:bidi="ar"/>
                      <w14:textFill>
                        <w14:solidFill>
                          <w14:schemeClr w14:val="tx1"/>
                        </w14:solidFill>
                      </w14:textFill>
                    </w:rPr>
                    <w:t>4</w:t>
                  </w:r>
                </w:p>
              </w:tc>
              <w:tc>
                <w:tcPr>
                  <w:tcW w:w="4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0.0319</w:t>
                  </w:r>
                </w:p>
              </w:tc>
              <w:tc>
                <w:tcPr>
                  <w:tcW w:w="26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60</w:t>
                  </w:r>
                </w:p>
              </w:tc>
              <w:tc>
                <w:tcPr>
                  <w:tcW w:w="44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0.3</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0.00</w:t>
                  </w:r>
                  <w:r>
                    <w:rPr>
                      <w:rFonts w:hint="eastAsia" w:cs="Times New Roman"/>
                      <w:color w:val="000000" w:themeColor="text1"/>
                      <w:kern w:val="0"/>
                      <w:sz w:val="18"/>
                      <w:szCs w:val="18"/>
                      <w:vertAlign w:val="baseline"/>
                      <w:lang w:val="en-US" w:eastAsia="zh-CN" w:bidi="ar"/>
                      <w14:textFill>
                        <w14:solidFill>
                          <w14:schemeClr w14:val="tx1"/>
                        </w14:solidFill>
                      </w14:textFill>
                    </w:rPr>
                    <w:t>2</w:t>
                  </w:r>
                </w:p>
              </w:tc>
              <w:tc>
                <w:tcPr>
                  <w:tcW w:w="4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0.0128</w:t>
                  </w:r>
                </w:p>
              </w:tc>
              <w:tc>
                <w:tcPr>
                  <w:tcW w:w="43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45</w:t>
                  </w:r>
                </w:p>
              </w:tc>
              <w:tc>
                <w:tcPr>
                  <w:tcW w:w="3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1.5</w:t>
                  </w: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无组织</w:t>
                  </w: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贮存</w:t>
                  </w:r>
                </w:p>
              </w:tc>
              <w:tc>
                <w:tcPr>
                  <w:tcW w:w="482"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非甲烷总烃</w:t>
                  </w:r>
                </w:p>
              </w:tc>
              <w:tc>
                <w:tcPr>
                  <w:tcW w:w="43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26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4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0.0775</w:t>
                  </w:r>
                </w:p>
              </w:tc>
              <w:tc>
                <w:tcPr>
                  <w:tcW w:w="43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4.0</w:t>
                  </w:r>
                </w:p>
              </w:tc>
              <w:tc>
                <w:tcPr>
                  <w:tcW w:w="3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装卸</w:t>
                  </w:r>
                </w:p>
              </w:tc>
              <w:tc>
                <w:tcPr>
                  <w:tcW w:w="482"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3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26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4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0.1</w:t>
                  </w:r>
                </w:p>
              </w:tc>
              <w:tc>
                <w:tcPr>
                  <w:tcW w:w="43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4.0</w:t>
                  </w:r>
                </w:p>
              </w:tc>
              <w:tc>
                <w:tcPr>
                  <w:tcW w:w="3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达标</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3"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生产车间</w:t>
                  </w:r>
                </w:p>
              </w:tc>
              <w:tc>
                <w:tcPr>
                  <w:tcW w:w="48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硫酸雾</w:t>
                  </w:r>
                </w:p>
              </w:tc>
              <w:tc>
                <w:tcPr>
                  <w:tcW w:w="43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26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4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4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0.0017</w:t>
                  </w:r>
                </w:p>
              </w:tc>
              <w:tc>
                <w:tcPr>
                  <w:tcW w:w="43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1.2</w:t>
                  </w:r>
                </w:p>
              </w:tc>
              <w:tc>
                <w:tcPr>
                  <w:tcW w:w="3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w:t>
                  </w:r>
                </w:p>
              </w:tc>
              <w:tc>
                <w:tcPr>
                  <w:tcW w:w="24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达标</w:t>
                  </w:r>
                </w:p>
              </w:tc>
            </w:tr>
          </w:tbl>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由上表可知，本项目营运期危废暂存过程中废气非甲烷排放满足《大气污染物综合排放标准》（GB16297-1996）表2二级排放限值要求和《关于全省开展工业企业挥发性有机物专项治理工作中排放建议值的通知》（豫环攻坚办[2017]162号）其他行业相关标准要求；硫酸雾排放满足《大气污染物综合排放标准》（GB16297-1996）表2二级排放限值要求。</w:t>
            </w:r>
          </w:p>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4.1.2废气排放口基本情况</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本项目废气排放口基本情况见下表。</w:t>
            </w:r>
          </w:p>
          <w:p>
            <w:pPr>
              <w:keepNext w:val="0"/>
              <w:keepLines w:val="0"/>
              <w:pageBreakBefore w:val="0"/>
              <w:widowControl w:val="0"/>
              <w:kinsoku/>
              <w:wordWrap w:val="0"/>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项目废气污染源源强核算结果及相关参数见一览表</w:t>
            </w:r>
          </w:p>
          <w:tbl>
            <w:tblPr>
              <w:tblStyle w:val="19"/>
              <w:tblW w:w="5000"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57"/>
              <w:gridCol w:w="781"/>
              <w:gridCol w:w="819"/>
              <w:gridCol w:w="638"/>
              <w:gridCol w:w="1460"/>
              <w:gridCol w:w="1357"/>
              <w:gridCol w:w="700"/>
              <w:gridCol w:w="638"/>
              <w:gridCol w:w="517"/>
              <w:gridCol w:w="579"/>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526" w:hRule="atLeast"/>
              </w:trPr>
              <w:tc>
                <w:tcPr>
                  <w:tcW w:w="287"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序号</w:t>
                  </w:r>
                </w:p>
              </w:tc>
              <w:tc>
                <w:tcPr>
                  <w:tcW w:w="49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编号</w:t>
                  </w:r>
                </w:p>
              </w:tc>
              <w:tc>
                <w:tcPr>
                  <w:tcW w:w="515"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排放口名称</w:t>
                  </w:r>
                </w:p>
              </w:tc>
              <w:tc>
                <w:tcPr>
                  <w:tcW w:w="40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主要污染物</w:t>
                  </w:r>
                </w:p>
              </w:tc>
              <w:tc>
                <w:tcPr>
                  <w:tcW w:w="1771" w:type="pct"/>
                  <w:gridSpan w:val="2"/>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排气筒位置</w:t>
                  </w:r>
                </w:p>
              </w:tc>
              <w:tc>
                <w:tcPr>
                  <w:tcW w:w="440"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排气筒高度m</w:t>
                  </w:r>
                </w:p>
              </w:tc>
              <w:tc>
                <w:tcPr>
                  <w:tcW w:w="40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排气筒内径</w:t>
                  </w:r>
                </w:p>
              </w:tc>
              <w:tc>
                <w:tcPr>
                  <w:tcW w:w="325"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烟气量m</w:t>
                  </w:r>
                  <w:r>
                    <w:rPr>
                      <w:rFonts w:hint="eastAsia" w:ascii="Times New Roman" w:hAnsi="Times New Roman" w:eastAsia="宋体" w:cs="Times New Roman"/>
                      <w:color w:val="000000" w:themeColor="text1"/>
                      <w:kern w:val="0"/>
                      <w:sz w:val="18"/>
                      <w:szCs w:val="18"/>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/h</w:t>
                  </w:r>
                </w:p>
              </w:tc>
              <w:tc>
                <w:tcPr>
                  <w:tcW w:w="364"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排气温度</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749" w:hRule="atLeast"/>
              </w:trPr>
              <w:tc>
                <w:tcPr>
                  <w:tcW w:w="287"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9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515"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0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91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经度</w:t>
                  </w:r>
                </w:p>
              </w:tc>
              <w:tc>
                <w:tcPr>
                  <w:tcW w:w="85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纬度</w:t>
                  </w:r>
                </w:p>
              </w:tc>
              <w:tc>
                <w:tcPr>
                  <w:tcW w:w="44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40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325"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c>
                <w:tcPr>
                  <w:tcW w:w="364"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1</w:t>
                  </w:r>
                </w:p>
              </w:tc>
              <w:tc>
                <w:tcPr>
                  <w:tcW w:w="49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DA001</w:t>
                  </w:r>
                </w:p>
              </w:tc>
              <w:tc>
                <w:tcPr>
                  <w:tcW w:w="51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有机废气排气筒</w:t>
                  </w:r>
                </w:p>
              </w:tc>
              <w:tc>
                <w:tcPr>
                  <w:tcW w:w="40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非甲烷总烃</w:t>
                  </w:r>
                </w:p>
              </w:tc>
              <w:tc>
                <w:tcPr>
                  <w:tcW w:w="91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vertAlign w:val="baseline"/>
                      <w:lang w:val="en-US" w:eastAsia="zh-CN" w:bidi="ar"/>
                      <w14:textFill>
                        <w14:solidFill>
                          <w14:schemeClr w14:val="tx1"/>
                        </w14:solidFill>
                      </w14:textFill>
                    </w:rPr>
                    <w:t>N113.44903781°</w:t>
                  </w:r>
                </w:p>
              </w:tc>
              <w:tc>
                <w:tcPr>
                  <w:tcW w:w="85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vertAlign w:val="baseline"/>
                      <w:lang w:val="en-US" w:eastAsia="zh-CN" w:bidi="ar"/>
                      <w14:textFill>
                        <w14:solidFill>
                          <w14:schemeClr w14:val="tx1"/>
                        </w14:solidFill>
                      </w14:textFill>
                    </w:rPr>
                    <w:t>E33.78802423°</w:t>
                  </w:r>
                </w:p>
              </w:tc>
              <w:tc>
                <w:tcPr>
                  <w:tcW w:w="44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15</w:t>
                  </w:r>
                </w:p>
              </w:tc>
              <w:tc>
                <w:tcPr>
                  <w:tcW w:w="40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w:t>
                  </w:r>
                  <w:r>
                    <w:rPr>
                      <w:rFonts w:hint="eastAsia" w:cs="Times New Roman"/>
                      <w:color w:val="000000" w:themeColor="text1"/>
                      <w:kern w:val="0"/>
                      <w:sz w:val="18"/>
                      <w:szCs w:val="18"/>
                      <w:vertAlign w:val="baseline"/>
                      <w:lang w:val="en-US" w:eastAsia="zh-CN" w:bidi="ar"/>
                      <w14:textFill>
                        <w14:solidFill>
                          <w14:schemeClr w14:val="tx1"/>
                        </w14:solidFill>
                      </w14:textFill>
                    </w:rPr>
                    <w:t>2</w:t>
                  </w:r>
                </w:p>
              </w:tc>
              <w:tc>
                <w:tcPr>
                  <w:tcW w:w="32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cs="Times New Roman"/>
                      <w:color w:val="000000" w:themeColor="text1"/>
                      <w:kern w:val="0"/>
                      <w:sz w:val="18"/>
                      <w:szCs w:val="18"/>
                      <w:vertAlign w:val="baseline"/>
                      <w:lang w:val="en-US" w:eastAsia="zh-CN" w:bidi="ar"/>
                      <w14:textFill>
                        <w14:solidFill>
                          <w14:schemeClr w14:val="tx1"/>
                        </w14:solidFill>
                      </w14:textFill>
                    </w:rPr>
                    <w:t>2</w:t>
                  </w: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000</w:t>
                  </w:r>
                </w:p>
              </w:tc>
              <w:tc>
                <w:tcPr>
                  <w:tcW w:w="364"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常温</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87"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2</w:t>
                  </w:r>
                </w:p>
              </w:tc>
              <w:tc>
                <w:tcPr>
                  <w:tcW w:w="49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DA002</w:t>
                  </w:r>
                </w:p>
              </w:tc>
              <w:tc>
                <w:tcPr>
                  <w:tcW w:w="51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碱液喷淋塔排气筒</w:t>
                  </w:r>
                </w:p>
              </w:tc>
              <w:tc>
                <w:tcPr>
                  <w:tcW w:w="40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硫酸雾</w:t>
                  </w:r>
                </w:p>
              </w:tc>
              <w:tc>
                <w:tcPr>
                  <w:tcW w:w="91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vertAlign w:val="baseline"/>
                      <w:lang w:val="en-US" w:eastAsia="zh-CN" w:bidi="ar"/>
                      <w14:textFill>
                        <w14:solidFill>
                          <w14:schemeClr w14:val="tx1"/>
                        </w14:solidFill>
                      </w14:textFill>
                    </w:rPr>
                    <w:t>N113.44863011°</w:t>
                  </w:r>
                </w:p>
              </w:tc>
              <w:tc>
                <w:tcPr>
                  <w:tcW w:w="85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5"/>
                      <w:szCs w:val="15"/>
                      <w:vertAlign w:val="baseline"/>
                      <w:lang w:val="en-US" w:eastAsia="zh-CN" w:bidi="ar"/>
                      <w14:textFill>
                        <w14:solidFill>
                          <w14:schemeClr w14:val="tx1"/>
                        </w14:solidFill>
                      </w14:textFill>
                    </w:rPr>
                    <w:t>E33.78808860°</w:t>
                  </w:r>
                </w:p>
              </w:tc>
              <w:tc>
                <w:tcPr>
                  <w:tcW w:w="44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15</w:t>
                  </w:r>
                </w:p>
              </w:tc>
              <w:tc>
                <w:tcPr>
                  <w:tcW w:w="40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0.3</w:t>
                  </w:r>
                </w:p>
              </w:tc>
              <w:tc>
                <w:tcPr>
                  <w:tcW w:w="32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5000</w:t>
                  </w:r>
                </w:p>
              </w:tc>
              <w:tc>
                <w:tcPr>
                  <w:tcW w:w="364"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18"/>
                      <w:szCs w:val="18"/>
                      <w:vertAlign w:val="baseline"/>
                      <w:lang w:val="en-US" w:eastAsia="zh-CN" w:bidi="ar"/>
                      <w14:textFill>
                        <w14:solidFill>
                          <w14:schemeClr w14:val="tx1"/>
                        </w14:solidFill>
                      </w14:textFill>
                    </w:rPr>
                    <w:t>常温</w:t>
                  </w:r>
                </w:p>
              </w:tc>
            </w:tr>
          </w:tbl>
          <w:p>
            <w:pPr>
              <w:keepNext w:val="0"/>
              <w:keepLines w:val="0"/>
              <w:pageBreakBefore w:val="0"/>
              <w:widowControl w:val="0"/>
              <w:kinsoku/>
              <w:wordWrap w:val="0"/>
              <w:overflowPunct/>
              <w:topLinePunct w:val="0"/>
              <w:autoSpaceDE/>
              <w:autoSpaceDN/>
              <w:bidi w:val="0"/>
              <w:adjustRightInd/>
              <w:snapToGrid/>
              <w:spacing w:line="360" w:lineRule="auto"/>
              <w:ind w:firstLine="0" w:firstLineChars="0"/>
              <w:jc w:val="left"/>
              <w:textAlignment w:val="auto"/>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4.1.3废气监测计划</w:t>
            </w:r>
          </w:p>
          <w:p>
            <w:pPr>
              <w:keepNext w:val="0"/>
              <w:keepLines w:val="0"/>
              <w:pageBreakBefore w:val="0"/>
              <w:widowControl w:val="0"/>
              <w:kinsoku/>
              <w:wordWrap w:val="0"/>
              <w:overflowPunct/>
              <w:topLinePunct w:val="0"/>
              <w:autoSpaceDE/>
              <w:autoSpaceDN/>
              <w:bidi w:val="0"/>
              <w:adjustRightInd/>
              <w:snapToGrid/>
              <w:spacing w:line="360" w:lineRule="auto"/>
              <w:ind w:firstLine="480" w:firstLineChars="200"/>
              <w:jc w:val="left"/>
              <w:textAlignment w:val="auto"/>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根据《排污单位自行监测技术指南 总则》（HJ 819-2017）、《排污许可证申请与核发技术规范 总则》（HJ942-2018）、《排污许可证申请与核发技术规范工业固体废物和和危险废物治理》（HJ1033-2019），本项目自行监测计划见下表。</w:t>
            </w:r>
          </w:p>
          <w:p>
            <w:pPr>
              <w:keepNext w:val="0"/>
              <w:keepLines w:val="0"/>
              <w:pageBreakBefore w:val="0"/>
              <w:widowControl w:val="0"/>
              <w:kinsoku/>
              <w:wordWrap w:val="0"/>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4</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项目废气污染源源强核算结果及相关参数见一览表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52"/>
              <w:gridCol w:w="1218"/>
              <w:gridCol w:w="1353"/>
              <w:gridCol w:w="868"/>
              <w:gridCol w:w="3525"/>
              <w:gridCol w:w="427"/>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09" w:hRule="atLeast"/>
              </w:trPr>
              <w:tc>
                <w:tcPr>
                  <w:tcW w:w="35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项目</w:t>
                  </w:r>
                </w:p>
              </w:tc>
              <w:tc>
                <w:tcPr>
                  <w:tcW w:w="77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监测点位</w:t>
                  </w:r>
                </w:p>
              </w:tc>
              <w:tc>
                <w:tcPr>
                  <w:tcW w:w="8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监测指标</w:t>
                  </w:r>
                </w:p>
              </w:tc>
              <w:tc>
                <w:tcPr>
                  <w:tcW w:w="5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监测频次</w:t>
                  </w:r>
                </w:p>
              </w:tc>
              <w:tc>
                <w:tcPr>
                  <w:tcW w:w="22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执行标准</w:t>
                  </w:r>
                </w:p>
              </w:tc>
              <w:tc>
                <w:tcPr>
                  <w:tcW w:w="2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备注</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249" w:hRule="atLeast"/>
              </w:trPr>
              <w:tc>
                <w:tcPr>
                  <w:tcW w:w="35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有组织</w:t>
                  </w:r>
                </w:p>
              </w:tc>
              <w:tc>
                <w:tcPr>
                  <w:tcW w:w="77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DA001</w:t>
                  </w:r>
                </w:p>
              </w:tc>
              <w:tc>
                <w:tcPr>
                  <w:tcW w:w="8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非甲烷总烃</w:t>
                  </w:r>
                </w:p>
              </w:tc>
              <w:tc>
                <w:tcPr>
                  <w:tcW w:w="550"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每半年/次</w:t>
                  </w:r>
                </w:p>
              </w:tc>
              <w:tc>
                <w:tcPr>
                  <w:tcW w:w="22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《大气污染物综合排放标准》（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GB16297-1996</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二级排放标准及《关于全省开展工业企业挥发性有机物专项治理工作集中排放建议限值的通知》（豫环文[</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2017</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162</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号）中其他行业的排放建议值</w:t>
                  </w:r>
                </w:p>
              </w:tc>
              <w:tc>
                <w:tcPr>
                  <w:tcW w:w="250" w:type="pct"/>
                  <w:vMerge w:val="restart"/>
                  <w:tcBorders>
                    <w:tl2br w:val="nil"/>
                    <w:tr2bl w:val="nil"/>
                  </w:tcBorders>
                  <w:noWrap w:val="0"/>
                  <w:vAlign w:val="center"/>
                </w:tcPr>
                <w:p>
                  <w:pPr>
                    <w:keepNext w:val="0"/>
                    <w:keepLines w:val="0"/>
                    <w:pageBreakBefore w:val="0"/>
                    <w:widowControl/>
                    <w:suppressLineNumbers w:val="0"/>
                    <w:kinsoku/>
                    <w:wordWrap w:val="0"/>
                    <w:topLinePunct w:val="0"/>
                    <w:bidi w:val="0"/>
                    <w:jc w:val="left"/>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委托</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有资质单位监测</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c>
                <w:tcPr>
                  <w:tcW w:w="77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DA002</w:t>
                  </w:r>
                </w:p>
              </w:tc>
              <w:tc>
                <w:tcPr>
                  <w:tcW w:w="8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硫酸雾</w:t>
                  </w:r>
                </w:p>
              </w:tc>
              <w:tc>
                <w:tcPr>
                  <w:tcW w:w="5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c>
                <w:tcPr>
                  <w:tcW w:w="22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jc w:val="left"/>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《大气污染物综合排放标准》（</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GB16297-1996</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）表</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二级排放限值要求</w:t>
                  </w:r>
                </w:p>
              </w:tc>
              <w:tc>
                <w:tcPr>
                  <w:tcW w:w="2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无组织</w:t>
                  </w:r>
                </w:p>
              </w:tc>
              <w:tc>
                <w:tcPr>
                  <w:tcW w:w="770"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厂界</w:t>
                  </w:r>
                </w:p>
              </w:tc>
              <w:tc>
                <w:tcPr>
                  <w:tcW w:w="8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非甲烷总烃</w:t>
                  </w:r>
                </w:p>
              </w:tc>
              <w:tc>
                <w:tcPr>
                  <w:tcW w:w="550"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每半年/次</w:t>
                  </w:r>
                </w:p>
              </w:tc>
              <w:tc>
                <w:tcPr>
                  <w:tcW w:w="22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《大气污染物综合排放标准》（GB16297-2006）无组织排放限值要求、《关于全省开展工业企业挥发性有机物专项治理工作集中排放建议限值的通知》（豫环文[2017]162号）中厂界浓度限值</w:t>
                  </w:r>
                </w:p>
              </w:tc>
              <w:tc>
                <w:tcPr>
                  <w:tcW w:w="2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35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c>
                <w:tcPr>
                  <w:tcW w:w="77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c>
                <w:tcPr>
                  <w:tcW w:w="8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硫酸雾</w:t>
                  </w:r>
                </w:p>
              </w:tc>
              <w:tc>
                <w:tcPr>
                  <w:tcW w:w="5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c>
                <w:tcPr>
                  <w:tcW w:w="22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《大气污染物综合排放标准》（GB16297-1996）表2无组织排放监控浓度限值要求</w:t>
                  </w:r>
                </w:p>
              </w:tc>
              <w:tc>
                <w:tcPr>
                  <w:tcW w:w="2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35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c>
                <w:tcPr>
                  <w:tcW w:w="77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车间外</w:t>
                  </w:r>
                </w:p>
              </w:tc>
              <w:tc>
                <w:tcPr>
                  <w:tcW w:w="855"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VOCs</w:t>
                  </w:r>
                </w:p>
              </w:tc>
              <w:tc>
                <w:tcPr>
                  <w:tcW w:w="550"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每年/次</w:t>
                  </w:r>
                </w:p>
              </w:tc>
              <w:tc>
                <w:tcPr>
                  <w:tcW w:w="22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《挥发性有机物无组织排放控制标准》（GB37822-2019）厂区内VOCs无组织排放限值</w:t>
                  </w:r>
                </w:p>
              </w:tc>
              <w:tc>
                <w:tcPr>
                  <w:tcW w:w="250"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p>
              </w:tc>
            </w:tr>
          </w:tbl>
          <w:p>
            <w:pPr>
              <w:keepLines w:val="0"/>
              <w:pageBreakBefore w:val="0"/>
              <w:kinsoku/>
              <w:wordWrap w:val="0"/>
              <w:topLinePunct w:val="0"/>
              <w:bidi w:val="0"/>
              <w:spacing w:line="520" w:lineRule="exact"/>
              <w:rPr>
                <w:rFonts w:hint="default" w:ascii="Times New Roman" w:hAnsi="Times New Roman" w:eastAsia="宋体"/>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4.1.4影响及措施分析</w:t>
            </w:r>
          </w:p>
          <w:p>
            <w:pPr>
              <w:keepLines w:val="0"/>
              <w:pageBreakBefore w:val="0"/>
              <w:kinsoku/>
              <w:wordWrap w:val="0"/>
              <w:topLinePunct w:val="0"/>
              <w:bidi w:val="0"/>
              <w:spacing w:line="520" w:lineRule="exact"/>
              <w:ind w:firstLine="480" w:firstLineChars="200"/>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1</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有机废气</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活性炭吸附有机废气原理：有机废气预处理后由风管引出后进活性炭吸附罐，气体进入吸附箱后，气体中的有机物质被活性炭吸附而着附在活性炭的表面，从而使气体得以净化。项目采用煤质类蜂窝状活性炭，此活性炭在结构上属于微晶碳，不规则排列，在交叉连接之间有细孔，是一种多孔碳，堆积密度低，比表面积大，吸收效果好，这种活性炭不仅有很大的表面积，而且炭粒中还有更细小的孔毛细管，这种毛细管具有很强的吸附能力，由于炭粒的表面积很大，所以能与气体（杂质）充分接触。</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pPr>
            <w:r>
              <w:rPr>
                <w:rFonts w:hint="eastAsia"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催化燃烧</w:t>
            </w: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装置：</w:t>
            </w:r>
            <w:r>
              <w:rPr>
                <w:rFonts w:hint="eastAsia"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利用固体催化剂将废气中的污染物通过氧化作用转化为二氧化碳、净化废气中污染物的设备及其附属设施。催化燃烧装置通常由催化反应室、热交换室和加热室构成</w:t>
            </w: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本项目非甲烷总烃经处理后排放浓度及速率满足《大气污染物综合排放标准》（GB16297-1996）表2限值要求和《关于全省开展工业企业挥发性有机物专项治理工作中排放建议值的通知》（豫环攻坚办〔2017〕162号）。</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s="Times New Roman"/>
                <w:color w:val="000000" w:themeColor="text1"/>
                <w:sz w:val="24"/>
                <w:u w:val="none"/>
                <w:lang w:val="en-US" w:eastAsia="zh-CN"/>
                <w14:textFill>
                  <w14:solidFill>
                    <w14:schemeClr w14:val="tx1"/>
                  </w14:solidFill>
                </w14:textFill>
              </w:rPr>
            </w:pP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本项目</w:t>
            </w:r>
            <w:r>
              <w:rPr>
                <w:rFonts w:hint="eastAsia" w:cs="Times New Roman"/>
                <w:b w:val="0"/>
                <w:bCs/>
                <w:color w:val="000000" w:themeColor="text1"/>
                <w:sz w:val="24"/>
                <w:szCs w:val="24"/>
                <w:highlight w:val="none"/>
                <w:u w:val="none"/>
                <w:lang w:val="en-US" w:eastAsia="zh-CN"/>
                <w14:textFill>
                  <w14:solidFill>
                    <w14:schemeClr w14:val="tx1"/>
                  </w14:solidFill>
                </w14:textFill>
              </w:rPr>
              <w:t>HW08危废贮存</w:t>
            </w: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过程产生的非甲烷总烃采用</w:t>
            </w:r>
            <w:r>
              <w:rPr>
                <w:rFonts w:hint="eastAsia" w:cs="Times New Roman"/>
                <w:b w:val="0"/>
                <w:bCs/>
                <w:color w:val="000000" w:themeColor="text1"/>
                <w:sz w:val="24"/>
                <w:szCs w:val="24"/>
                <w:highlight w:val="none"/>
                <w:u w:val="none"/>
                <w:lang w:val="en-US" w:eastAsia="zh-CN"/>
                <w14:textFill>
                  <w14:solidFill>
                    <w14:schemeClr w14:val="tx1"/>
                  </w14:solidFill>
                </w14:textFill>
              </w:rPr>
              <w:t>集气+</w:t>
            </w: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活性炭吸附</w:t>
            </w:r>
            <w:r>
              <w:rPr>
                <w:rFonts w:hint="eastAsia"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w:t>
            </w: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催化</w:t>
            </w:r>
            <w:r>
              <w:rPr>
                <w:rFonts w:hint="eastAsia"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燃烧</w:t>
            </w:r>
            <w:r>
              <w:rPr>
                <w:rFonts w:hint="default" w:ascii="Times New Roman" w:hAnsi="Times New Roman" w:eastAsia="宋体" w:cs="Times New Roman"/>
                <w:b w:val="0"/>
                <w:bCs/>
                <w:color w:val="000000" w:themeColor="text1"/>
                <w:sz w:val="24"/>
                <w:szCs w:val="24"/>
                <w:highlight w:val="none"/>
                <w:u w:val="none"/>
                <w:lang w:val="en-US" w:eastAsia="zh-CN"/>
                <w14:textFill>
                  <w14:solidFill>
                    <w14:schemeClr w14:val="tx1"/>
                  </w14:solidFill>
                </w14:textFill>
              </w:rPr>
              <w:t>装置，属于《排污许可证申请与核发技术规范  总则》（HJ942-2018）中可行技术，因此，项目废气污染治理设施可行。</w:t>
            </w:r>
          </w:p>
          <w:p>
            <w:pPr>
              <w:keepLines w:val="0"/>
              <w:pageBreakBefore w:val="0"/>
              <w:kinsoku/>
              <w:wordWrap w:val="0"/>
              <w:topLinePunct w:val="0"/>
              <w:bidi w:val="0"/>
              <w:spacing w:line="520" w:lineRule="exact"/>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2</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酸雾废气</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参照《铅酸蓄电池环保设施运行技术规范第2部分：酸雾处理系统》（GB/T36068.2-2015），酸雾收集后，经碱液喷淋装置进行处理，净化装置吸收液为稀碱液（2%～8%NaOH），设定喷淋碱液pH值至8~10之间，由pH自动控制仪表联动加药泵投加碱液保持pH基本稳定。碱液喷淋塔由耐腐蚀材料焊接而成的立式圆塔式箱体，塔内自下而上由贮液槽、喷淋段、填料层、顶部除雾器组成。运行时硫酸雾经塔的下部进入上升至喷淋段，空塔气速0.5m</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s~2.5m/s，吸收液从均布的喷嘴高速喷出，形成细小雾滴与气体充分混合接触，继续发生化学反应，气相的酸性物质（H</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SO</w:t>
            </w:r>
            <w:r>
              <w:rPr>
                <w:rFonts w:hint="default" w:ascii="Times New Roman" w:hAnsi="Times New Roman" w:eastAsia="宋体" w:cs="Times New Roman"/>
                <w:color w:val="000000" w:themeColor="text1"/>
                <w:kern w:val="0"/>
                <w:sz w:val="24"/>
                <w:szCs w:val="24"/>
                <w:vertAlign w:val="subscript"/>
                <w:lang w:val="en-US" w:eastAsia="zh-CN" w:bidi="ar"/>
                <w14:textFill>
                  <w14:solidFill>
                    <w14:schemeClr w14:val="tx1"/>
                  </w14:solidFill>
                </w14:textFill>
              </w:rPr>
              <w:t>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与液相的碱性物质（NaOH）发生化学反应，生成可溶性盐和水，随吸收液流入下部贮液槽，然后气体上升至填料层，利用风动力使填料小球湍动，使气相中硫酸雾与喷淋用的强碱性物质充分发生化学传质反应，气体进入塔体顶部除雾器，夹带的吸收液于这里被清除下来，洁净空气从塔上端排人大气。</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本项目破损电池贮存产生的酸雾废气成分</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主要</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为硫酸，废气引入碱液喷淋塔处理，经与烧碱溶液在喷淋塔逆流接触，酸雾被碱液充分吸收后发生酸碱中和反应被去除，酸碱反应速度快、效率高，硫酸雾处理采取</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“碱液喷淋法”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为可行技术。</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t>4.1.5 废气非正常工况分析</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非正常排放指生产过程中开停车（工、炉）、设备检修、工艺设备运转异常等非正常工况下的污染物排放，以及污染物排放控制措施达不到应有效率等情况下的的排放。本项目不存在开、停车的异常排放，本评价仅考虑工艺设备运转异常状况下污染物非正常排放情况。假定非正常工况下，废气处理效率</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降低50%，故障抢修至恢复正常时间按1h计，项目非正常工况下的排放情况见下表。</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表4-5  项目非正常工况废气排放一览表</w:t>
            </w:r>
          </w:p>
          <w:tbl>
            <w:tblPr>
              <w:tblStyle w:val="19"/>
              <w:tblW w:w="4996"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07"/>
              <w:gridCol w:w="688"/>
              <w:gridCol w:w="800"/>
              <w:gridCol w:w="968"/>
              <w:gridCol w:w="870"/>
              <w:gridCol w:w="800"/>
              <w:gridCol w:w="919"/>
              <w:gridCol w:w="830"/>
              <w:gridCol w:w="12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污染源</w:t>
                  </w:r>
                </w:p>
              </w:tc>
              <w:tc>
                <w:tcPr>
                  <w:tcW w:w="43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持续时间</w:t>
                  </w:r>
                </w:p>
              </w:tc>
              <w:tc>
                <w:tcPr>
                  <w:tcW w:w="50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污染物</w:t>
                  </w:r>
                </w:p>
              </w:tc>
              <w:tc>
                <w:tcPr>
                  <w:tcW w:w="60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产生浓度mg/m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c>
                <w:tcPr>
                  <w:tcW w:w="547"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产生</w:t>
                  </w: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速率kg/h</w:t>
                  </w:r>
                </w:p>
              </w:tc>
              <w:tc>
                <w:tcPr>
                  <w:tcW w:w="50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处理效率%</w:t>
                  </w:r>
                </w:p>
              </w:tc>
              <w:tc>
                <w:tcPr>
                  <w:tcW w:w="57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排放浓度mg/m</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p>
              </w:tc>
              <w:tc>
                <w:tcPr>
                  <w:tcW w:w="5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排放速率kg/h</w:t>
                  </w:r>
                </w:p>
              </w:tc>
              <w:tc>
                <w:tcPr>
                  <w:tcW w:w="79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排放标准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DA001</w:t>
                  </w:r>
                </w:p>
              </w:tc>
              <w:tc>
                <w:tcPr>
                  <w:tcW w:w="43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1h</w:t>
                  </w:r>
                </w:p>
              </w:tc>
              <w:tc>
                <w:tcPr>
                  <w:tcW w:w="50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非甲烷总烃</w:t>
                  </w:r>
                </w:p>
              </w:tc>
              <w:tc>
                <w:tcPr>
                  <w:tcW w:w="60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cs="Times New Roman"/>
                      <w:color w:val="000000" w:themeColor="text1"/>
                      <w:kern w:val="0"/>
                      <w:sz w:val="21"/>
                      <w:szCs w:val="21"/>
                      <w:vertAlign w:val="baseline"/>
                      <w:lang w:val="en-US" w:eastAsia="zh-CN" w:bidi="ar"/>
                      <w14:textFill>
                        <w14:solidFill>
                          <w14:schemeClr w14:val="tx1"/>
                        </w14:solidFill>
                      </w14:textFill>
                    </w:rPr>
                    <w:t>84.05</w:t>
                  </w:r>
                </w:p>
              </w:tc>
              <w:tc>
                <w:tcPr>
                  <w:tcW w:w="547"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cs="Times New Roman"/>
                      <w:color w:val="000000" w:themeColor="text1"/>
                      <w:kern w:val="0"/>
                      <w:sz w:val="21"/>
                      <w:szCs w:val="21"/>
                      <w:vertAlign w:val="baseline"/>
                      <w:lang w:val="en-US" w:eastAsia="zh-CN" w:bidi="ar"/>
                      <w14:textFill>
                        <w14:solidFill>
                          <w14:schemeClr w14:val="tx1"/>
                        </w14:solidFill>
                      </w14:textFill>
                    </w:rPr>
                    <w:t>0.168</w:t>
                  </w:r>
                </w:p>
              </w:tc>
              <w:tc>
                <w:tcPr>
                  <w:tcW w:w="50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cs="Times New Roman"/>
                      <w:color w:val="000000" w:themeColor="text1"/>
                      <w:kern w:val="0"/>
                      <w:sz w:val="21"/>
                      <w:szCs w:val="21"/>
                      <w:vertAlign w:val="baseline"/>
                      <w:lang w:val="en-US" w:eastAsia="zh-CN" w:bidi="ar"/>
                      <w14:textFill>
                        <w14:solidFill>
                          <w14:schemeClr w14:val="tx1"/>
                        </w14:solidFill>
                      </w14:textFill>
                    </w:rPr>
                    <w:t>49</w:t>
                  </w:r>
                </w:p>
              </w:tc>
              <w:tc>
                <w:tcPr>
                  <w:tcW w:w="57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cs="Times New Roman"/>
                      <w:color w:val="000000" w:themeColor="text1"/>
                      <w:kern w:val="0"/>
                      <w:sz w:val="21"/>
                      <w:szCs w:val="21"/>
                      <w:vertAlign w:val="baseline"/>
                      <w:lang w:val="en-US" w:eastAsia="zh-CN" w:bidi="ar"/>
                      <w14:textFill>
                        <w14:solidFill>
                          <w14:schemeClr w14:val="tx1"/>
                        </w14:solidFill>
                      </w14:textFill>
                    </w:rPr>
                    <w:t>42.87</w:t>
                  </w:r>
                </w:p>
              </w:tc>
              <w:tc>
                <w:tcPr>
                  <w:tcW w:w="5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cs="Times New Roman"/>
                      <w:color w:val="000000" w:themeColor="text1"/>
                      <w:kern w:val="0"/>
                      <w:sz w:val="21"/>
                      <w:szCs w:val="21"/>
                      <w:vertAlign w:val="baseline"/>
                      <w:lang w:val="en-US" w:eastAsia="zh-CN" w:bidi="ar"/>
                      <w14:textFill>
                        <w14:solidFill>
                          <w14:schemeClr w14:val="tx1"/>
                        </w14:solidFill>
                      </w14:textFill>
                    </w:rPr>
                    <w:t>0.086</w:t>
                  </w:r>
                </w:p>
              </w:tc>
              <w:tc>
                <w:tcPr>
                  <w:tcW w:w="79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80mg/m</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；10kg/h</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0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DA002</w:t>
                  </w:r>
                </w:p>
              </w:tc>
              <w:tc>
                <w:tcPr>
                  <w:tcW w:w="43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1h</w:t>
                  </w:r>
                </w:p>
              </w:tc>
              <w:tc>
                <w:tcPr>
                  <w:tcW w:w="50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硫酸雾</w:t>
                  </w:r>
                </w:p>
              </w:tc>
              <w:tc>
                <w:tcPr>
                  <w:tcW w:w="60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0.73</w:t>
                  </w:r>
                </w:p>
              </w:tc>
              <w:tc>
                <w:tcPr>
                  <w:tcW w:w="547"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0.00</w:t>
                  </w:r>
                  <w:r>
                    <w:rPr>
                      <w:rFonts w:hint="eastAsia" w:cs="Times New Roman"/>
                      <w:color w:val="000000" w:themeColor="text1"/>
                      <w:kern w:val="0"/>
                      <w:sz w:val="21"/>
                      <w:szCs w:val="21"/>
                      <w:vertAlign w:val="baseline"/>
                      <w:lang w:val="en-US" w:eastAsia="zh-CN" w:bidi="ar"/>
                      <w14:textFill>
                        <w14:solidFill>
                          <w14:schemeClr w14:val="tx1"/>
                        </w14:solidFill>
                      </w14:textFill>
                    </w:rPr>
                    <w:t>4</w:t>
                  </w:r>
                </w:p>
              </w:tc>
              <w:tc>
                <w:tcPr>
                  <w:tcW w:w="503"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30</w:t>
                  </w:r>
                </w:p>
              </w:tc>
              <w:tc>
                <w:tcPr>
                  <w:tcW w:w="57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0.51</w:t>
                  </w:r>
                </w:p>
              </w:tc>
              <w:tc>
                <w:tcPr>
                  <w:tcW w:w="522"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0.00</w:t>
                  </w:r>
                  <w:r>
                    <w:rPr>
                      <w:rFonts w:hint="eastAsia" w:cs="Times New Roman"/>
                      <w:color w:val="000000" w:themeColor="text1"/>
                      <w:kern w:val="0"/>
                      <w:sz w:val="21"/>
                      <w:szCs w:val="21"/>
                      <w:vertAlign w:val="baseline"/>
                      <w:lang w:val="en-US" w:eastAsia="zh-CN" w:bidi="ar"/>
                      <w14:textFill>
                        <w14:solidFill>
                          <w14:schemeClr w14:val="tx1"/>
                        </w14:solidFill>
                      </w14:textFill>
                    </w:rPr>
                    <w:t>3</w:t>
                  </w:r>
                </w:p>
              </w:tc>
              <w:tc>
                <w:tcPr>
                  <w:tcW w:w="79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45mg/m</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3</w:t>
                  </w: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vertAlign w:val="baseline"/>
                      <w:lang w:val="en-US" w:eastAsia="zh-CN" w:bidi="ar"/>
                      <w14:textFill>
                        <w14:solidFill>
                          <w14:schemeClr w14:val="tx1"/>
                        </w14:solidFill>
                      </w14:textFill>
                    </w:rPr>
                    <w:t>1.5kg/h</w:t>
                  </w: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eastAsia="宋体"/>
                <w:color w:val="000000" w:themeColor="text1"/>
                <w:sz w:val="24"/>
                <w:lang w:val="en-US" w:eastAsia="zh-CN"/>
                <w14:textFill>
                  <w14:solidFill>
                    <w14:schemeClr w14:val="tx1"/>
                  </w14:solidFill>
                </w14:textFill>
              </w:rPr>
              <w:t>综上，本项目运营期排放的废气污染物对区域大气环境的影响可接受。</w:t>
            </w:r>
          </w:p>
        </w:tc>
      </w:tr>
    </w:tbl>
    <w:p>
      <w:pPr>
        <w:keepLines w:val="0"/>
        <w:pageBreakBefore w:val="0"/>
        <w:kinsoku/>
        <w:wordWrap w:val="0"/>
        <w:topLinePunct w:val="0"/>
        <w:bidi w:val="0"/>
        <w:adjustRightInd w:val="0"/>
        <w:snapToGrid w:val="0"/>
        <w:spacing w:line="360" w:lineRule="auto"/>
        <w:rPr>
          <w:rFonts w:ascii="Times New Roman" w:hAnsi="Times New Roman" w:cs="宋体"/>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6810" w:hRule="atLeast"/>
          <w:jc w:val="center"/>
        </w:trPr>
        <w:tc>
          <w:tcPr>
            <w:tcW w:w="746" w:type="dxa"/>
            <w:noWrap w:val="0"/>
            <w:tcMar>
              <w:left w:w="28" w:type="dxa"/>
              <w:right w:w="28" w:type="dxa"/>
            </w:tcMar>
            <w:vAlign w:val="center"/>
          </w:tcPr>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运营</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期环</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境影</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响和</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保护</w:t>
            </w:r>
          </w:p>
          <w:p>
            <w:pPr>
              <w:keepLines w:val="0"/>
              <w:pageBreakBefore w:val="0"/>
              <w:kinsoku/>
              <w:wordWrap w:val="0"/>
              <w:topLinePunct w:val="0"/>
              <w:bidi w:val="0"/>
              <w:adjustRightInd w:val="0"/>
              <w:snapToGrid w:val="0"/>
              <w:jc w:val="center"/>
              <w:rPr>
                <w:rFonts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措施</w:t>
            </w:r>
          </w:p>
        </w:tc>
        <w:tc>
          <w:tcPr>
            <w:tcW w:w="8162" w:type="dxa"/>
            <w:noWrap w:val="0"/>
            <w:vAlign w:val="center"/>
          </w:tcPr>
          <w:p>
            <w:pPr>
              <w:keepLines w:val="0"/>
              <w:pageBreakBefore w:val="0"/>
              <w:kinsoku/>
              <w:wordWrap w:val="0"/>
              <w:topLinePunct w:val="0"/>
              <w:bidi w:val="0"/>
              <w:spacing w:line="520" w:lineRule="exact"/>
              <w:rPr>
                <w:rFonts w:ascii="Times New Roman" w:hAnsi="Times New Roman"/>
                <w:b/>
                <w:color w:val="000000" w:themeColor="text1"/>
                <w:sz w:val="24"/>
                <w:szCs w:val="20"/>
                <w14:textFill>
                  <w14:solidFill>
                    <w14:schemeClr w14:val="tx1"/>
                  </w14:solidFill>
                </w14:textFill>
              </w:rPr>
            </w:pPr>
            <w:r>
              <w:rPr>
                <w:rFonts w:ascii="Times New Roman" w:hAnsi="Times New Roman"/>
                <w:b/>
                <w:color w:val="000000" w:themeColor="text1"/>
                <w:sz w:val="24"/>
                <w:szCs w:val="20"/>
                <w14:textFill>
                  <w14:solidFill>
                    <w14:schemeClr w14:val="tx1"/>
                  </w14:solidFill>
                </w14:textFill>
              </w:rPr>
              <w:t>4.2</w:t>
            </w:r>
            <w:r>
              <w:rPr>
                <w:rFonts w:hint="eastAsia" w:ascii="Times New Roman" w:hAnsi="Times New Roman"/>
                <w:b/>
                <w:color w:val="000000" w:themeColor="text1"/>
                <w:sz w:val="24"/>
                <w:szCs w:val="20"/>
                <w:lang w:val="en-US" w:eastAsia="zh-CN"/>
                <w14:textFill>
                  <w14:solidFill>
                    <w14:schemeClr w14:val="tx1"/>
                  </w14:solidFill>
                </w14:textFill>
              </w:rPr>
              <w:t xml:space="preserve"> </w:t>
            </w:r>
            <w:r>
              <w:rPr>
                <w:rFonts w:ascii="Times New Roman" w:hAnsi="Times New Roman"/>
                <w:b/>
                <w:color w:val="000000" w:themeColor="text1"/>
                <w:sz w:val="24"/>
                <w:szCs w:val="20"/>
                <w14:textFill>
                  <w14:solidFill>
                    <w14:schemeClr w14:val="tx1"/>
                  </w14:solidFill>
                </w14:textFill>
              </w:rPr>
              <w:t>废</w:t>
            </w:r>
            <w:r>
              <w:rPr>
                <w:rFonts w:hint="eastAsia" w:ascii="Times New Roman" w:hAnsi="Times New Roman"/>
                <w:b/>
                <w:color w:val="000000" w:themeColor="text1"/>
                <w:sz w:val="24"/>
                <w:szCs w:val="20"/>
                <w14:textFill>
                  <w14:solidFill>
                    <w14:schemeClr w14:val="tx1"/>
                  </w14:solidFill>
                </w14:textFill>
              </w:rPr>
              <w:t>水</w:t>
            </w:r>
          </w:p>
          <w:p>
            <w:pPr>
              <w:keepNext w:val="0"/>
              <w:keepLines w:val="0"/>
              <w:pageBreakBefore w:val="0"/>
              <w:widowControl/>
              <w:suppressLineNumbers w:val="0"/>
              <w:kinsoku/>
              <w:wordWrap w:val="0"/>
              <w:overflowPunct/>
              <w:topLinePunct w:val="0"/>
              <w:autoSpaceDE/>
              <w:autoSpaceDN/>
              <w:bidi w:val="0"/>
              <w:adjustRightInd w:val="0"/>
              <w:snapToGrid/>
              <w:spacing w:line="500" w:lineRule="exact"/>
              <w:ind w:firstLine="480" w:firstLineChars="200"/>
              <w:jc w:val="both"/>
              <w:textAlignment w:val="auto"/>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本项目厂区内排水采用“清污分流、雨水分流”。本项目运营期无生产废水。职工生活污水</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依托黄洋铜业有限公司现有化粪池处理后定期清掏，用于周边农田施肥。</w:t>
            </w:r>
          </w:p>
          <w:p>
            <w:pPr>
              <w:keepNext w:val="0"/>
              <w:keepLines w:val="0"/>
              <w:pageBreakBefore w:val="0"/>
              <w:widowControl/>
              <w:suppressLineNumbers w:val="0"/>
              <w:kinsoku/>
              <w:wordWrap w:val="0"/>
              <w:overflowPunct/>
              <w:topLinePunct w:val="0"/>
              <w:autoSpaceDE/>
              <w:autoSpaceDN/>
              <w:bidi w:val="0"/>
              <w:adjustRightInd w:val="0"/>
              <w:snapToGrid/>
              <w:spacing w:line="500" w:lineRule="exact"/>
              <w:ind w:firstLine="480" w:firstLineChars="200"/>
              <w:jc w:val="both"/>
              <w:textAlignment w:val="auto"/>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本项目营运期劳动定员为30人，均不在厂区食宿，全年工作360天。</w:t>
            </w:r>
            <w:r>
              <w:rPr>
                <w:rFonts w:hint="eastAsia" w:ascii="Times New Roman" w:hAnsi="Times New Roman" w:eastAsia="宋体" w:cs="宋体"/>
                <w:color w:val="000000" w:themeColor="text1"/>
                <w:spacing w:val="8"/>
                <w:sz w:val="24"/>
                <w:szCs w:val="24"/>
                <w:lang w:val="en-US" w:eastAsia="zh-CN"/>
                <w14:textFill>
                  <w14:solidFill>
                    <w14:schemeClr w14:val="tx1"/>
                  </w14:solidFill>
                </w14:textFill>
              </w:rPr>
              <w:t>参照</w:t>
            </w:r>
            <w:r>
              <w:rPr>
                <w:rFonts w:ascii="Times New Roman" w:hAnsi="Times New Roman" w:eastAsia="宋体" w:cs="宋体"/>
                <w:color w:val="000000" w:themeColor="text1"/>
                <w:spacing w:val="8"/>
                <w:sz w:val="24"/>
                <w:szCs w:val="24"/>
                <w14:textFill>
                  <w14:solidFill>
                    <w14:schemeClr w14:val="tx1"/>
                  </w14:solidFill>
                </w14:textFill>
              </w:rPr>
              <w:t>《建筑给水排水设计规范》</w:t>
            </w:r>
            <w:r>
              <w:rPr>
                <w:rFonts w:ascii="Times New Roman" w:hAnsi="Times New Roman" w:eastAsia="宋体" w:cs="宋体"/>
                <w:color w:val="000000" w:themeColor="text1"/>
                <w:spacing w:val="-1"/>
                <w:sz w:val="24"/>
                <w:szCs w:val="24"/>
                <w14:textFill>
                  <w14:solidFill>
                    <w14:schemeClr w14:val="tx1"/>
                  </w14:solidFill>
                </w14:textFill>
              </w:rPr>
              <w:t>（</w:t>
            </w:r>
            <w:r>
              <w:rPr>
                <w:rFonts w:ascii="Times New Roman" w:hAnsi="Times New Roman" w:eastAsia="Times New Roman" w:cs="Times New Roman"/>
                <w:color w:val="000000" w:themeColor="text1"/>
                <w:spacing w:val="-1"/>
                <w:sz w:val="24"/>
                <w:szCs w:val="24"/>
                <w14:textFill>
                  <w14:solidFill>
                    <w14:schemeClr w14:val="tx1"/>
                  </w14:solidFill>
                </w14:textFill>
              </w:rPr>
              <w:t>GB50015-20</w:t>
            </w:r>
            <w:r>
              <w:rPr>
                <w:rFonts w:hint="eastAsia" w:ascii="Times New Roman" w:hAnsi="Times New Roman" w:eastAsia="宋体" w:cs="Times New Roman"/>
                <w:color w:val="000000" w:themeColor="text1"/>
                <w:spacing w:val="-1"/>
                <w:sz w:val="24"/>
                <w:szCs w:val="24"/>
                <w:lang w:val="en-US" w:eastAsia="zh-CN"/>
                <w14:textFill>
                  <w14:solidFill>
                    <w14:schemeClr w14:val="tx1"/>
                  </w14:solidFill>
                </w14:textFill>
              </w:rPr>
              <w:t>19</w:t>
            </w:r>
            <w:r>
              <w:rPr>
                <w:rFonts w:ascii="Times New Roman" w:hAnsi="Times New Roman" w:eastAsia="宋体" w:cs="宋体"/>
                <w:color w:val="000000" w:themeColor="text1"/>
                <w:spacing w:val="16"/>
                <w:sz w:val="24"/>
                <w:szCs w:val="24"/>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，员工用水定额按35L/人</w:t>
            </w:r>
            <w:r>
              <w:rPr>
                <w:rFonts w:hint="default"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d核算，则本项目的生活用水量为1.05m</w:t>
            </w:r>
            <w:r>
              <w:rPr>
                <w:rFonts w:hint="eastAsia"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/d（378m</w:t>
            </w:r>
            <w:r>
              <w:rPr>
                <w:rFonts w:hint="eastAsia"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/d），污水产生系数取0.8，则项目生活污水产生量为0.8，则项目生活污水产生量为0.84m</w:t>
            </w:r>
            <w:r>
              <w:rPr>
                <w:rFonts w:hint="eastAsia"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/d（302m</w:t>
            </w:r>
            <w:r>
              <w:rPr>
                <w:rFonts w:hint="eastAsia" w:ascii="Times New Roman" w:hAnsi="Times New Roman" w:eastAsia="宋体" w:cs="Times New Roman"/>
                <w:b w:val="0"/>
                <w:bCs w:val="0"/>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/a）。</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类比同类企业职工生活污水水质，确定本项目生活污水水质为COD230mg/L、BOD</w:t>
            </w:r>
            <w:r>
              <w:rPr>
                <w:rFonts w:hint="eastAsia" w:ascii="Times New Roman" w:hAnsi="Times New Roman" w:eastAsia="宋体" w:cs="Times New Roman"/>
                <w:b w:val="0"/>
                <w:bCs w:val="0"/>
                <w:color w:val="000000" w:themeColor="text1"/>
                <w:kern w:val="0"/>
                <w:sz w:val="24"/>
                <w:szCs w:val="24"/>
                <w:vertAlign w:val="subscript"/>
                <w:lang w:val="en-US" w:eastAsia="zh-CN" w:bidi="ar"/>
                <w14:textFill>
                  <w14:solidFill>
                    <w14:schemeClr w14:val="tx1"/>
                  </w14:solidFill>
                </w14:textFill>
              </w:rPr>
              <w:t>5</w:t>
            </w:r>
            <w:r>
              <w:rPr>
                <w:rFonts w:hint="eastAsia" w:ascii="Times New Roman" w:hAnsi="Times New Roman" w:eastAsia="宋体" w:cs="Times New Roman"/>
                <w:b w:val="0"/>
                <w:bCs w:val="0"/>
                <w:color w:val="000000" w:themeColor="text1"/>
                <w:kern w:val="0"/>
                <w:sz w:val="24"/>
                <w:szCs w:val="24"/>
                <w:vertAlign w:val="baseline"/>
                <w:lang w:val="en-US" w:eastAsia="zh-CN" w:bidi="ar"/>
                <w14:textFill>
                  <w14:solidFill>
                    <w14:schemeClr w14:val="tx1"/>
                  </w14:solidFill>
                </w14:textFill>
              </w:rPr>
              <w:t>110mg/L、氨氮20mg/L、SS140mg/L。</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4.2.2 废水处理设施可行性分析</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68" w:firstLineChars="200"/>
              <w:textAlignment w:val="auto"/>
              <w:rPr>
                <w:rFonts w:hint="default" w:ascii="Times New Roman" w:hAnsi="Times New Roman" w:eastAsia="宋体" w:cs="Times New Roman"/>
                <w:b w:val="0"/>
                <w:bCs w:val="0"/>
                <w:color w:val="000000" w:themeColor="text1"/>
                <w:sz w:val="24"/>
                <w:szCs w:val="24"/>
                <w:u w:val="none" w:color="auto"/>
                <w14:textFill>
                  <w14:solidFill>
                    <w14:schemeClr w14:val="tx1"/>
                  </w14:solidFill>
                </w14:textFill>
              </w:rPr>
            </w:pP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生活污</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水COD2</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3</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0mg/L、</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pacing w:val="-3"/>
                <w:sz w:val="24"/>
                <w:szCs w:val="24"/>
                <w:u w:val="none" w:color="auto"/>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110mg/L、</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SS1</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4</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0mg/L，化粪池COD处</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理效率约为15%，</w:t>
            </w:r>
            <w:r>
              <w:rPr>
                <w:rFonts w:hint="default" w:ascii="Times New Roman" w:hAnsi="Times New Roman" w:eastAsia="宋体" w:cs="Times New Roman"/>
                <w:b w:val="0"/>
                <w:bCs w:val="0"/>
                <w:color w:val="000000" w:themeColor="text1"/>
                <w:sz w:val="24"/>
                <w:szCs w:val="24"/>
                <w:u w:val="none" w:color="auto"/>
                <w14:textFill>
                  <w14:solidFill>
                    <w14:schemeClr w14:val="tx1"/>
                  </w14:solidFill>
                </w14:textFill>
              </w:rPr>
              <w:t>SS</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处理效率约为30%，则处理后污水</w:t>
            </w:r>
            <w:r>
              <w:rPr>
                <w:rFonts w:hint="default" w:ascii="Times New Roman" w:hAnsi="Times New Roman" w:eastAsia="宋体" w:cs="Times New Roman"/>
                <w:b w:val="0"/>
                <w:bCs w:val="0"/>
                <w:color w:val="000000" w:themeColor="text1"/>
                <w:sz w:val="24"/>
                <w:szCs w:val="24"/>
                <w:u w:val="none" w:color="auto"/>
                <w14:textFill>
                  <w14:solidFill>
                    <w14:schemeClr w14:val="tx1"/>
                  </w14:solidFill>
                </w14:textFill>
              </w:rPr>
              <w:t>COD</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1</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96</w:t>
            </w:r>
            <w:r>
              <w:rPr>
                <w:rFonts w:hint="default" w:ascii="Times New Roman" w:hAnsi="Times New Roman" w:eastAsia="宋体" w:cs="Times New Roman"/>
                <w:b w:val="0"/>
                <w:bCs w:val="0"/>
                <w:color w:val="000000" w:themeColor="text1"/>
                <w:sz w:val="24"/>
                <w:szCs w:val="24"/>
                <w:u w:val="none" w:color="auto"/>
                <w14:textFill>
                  <w14:solidFill>
                    <w14:schemeClr w14:val="tx1"/>
                  </w14:solidFill>
                </w14:textFill>
              </w:rPr>
              <w:t>mg</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/L、</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pacing w:val="-3"/>
                <w:sz w:val="24"/>
                <w:szCs w:val="24"/>
                <w:u w:val="none" w:color="auto"/>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pacing w:val="-3"/>
                <w:sz w:val="24"/>
                <w:szCs w:val="24"/>
                <w:u w:val="none" w:color="auto"/>
                <w:vertAlign w:val="baseline"/>
                <w:lang w:val="en-US" w:eastAsia="zh-CN"/>
                <w14:textFill>
                  <w14:solidFill>
                    <w14:schemeClr w14:val="tx1"/>
                  </w14:solidFill>
                </w14:textFill>
              </w:rPr>
              <w:t>94</w:t>
            </w:r>
            <w:r>
              <w:rPr>
                <w:rFonts w:hint="default" w:ascii="Times New Roman" w:hAnsi="Times New Roman" w:eastAsia="宋体" w:cs="Times New Roman"/>
                <w:b w:val="0"/>
                <w:bCs w:val="0"/>
                <w:color w:val="000000" w:themeColor="text1"/>
                <w:spacing w:val="-1"/>
                <w:sz w:val="24"/>
                <w:szCs w:val="24"/>
                <w:u w:val="none" w:color="auto"/>
                <w14:textFill>
                  <w14:solidFill>
                    <w14:schemeClr w14:val="tx1"/>
                  </w14:solidFill>
                </w14:textFill>
              </w:rPr>
              <w:t>mg/L</w:t>
            </w:r>
            <w:r>
              <w:rPr>
                <w:rFonts w:hint="eastAsia" w:ascii="Times New Roman" w:hAnsi="Times New Roman" w:eastAsia="宋体" w:cs="Times New Roman"/>
                <w:b w:val="0"/>
                <w:bCs w:val="0"/>
                <w:color w:val="000000" w:themeColor="text1"/>
                <w:spacing w:val="-1"/>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1"/>
                <w:sz w:val="24"/>
                <w:szCs w:val="24"/>
                <w:u w:val="none" w:color="auto"/>
                <w14:textFill>
                  <w14:solidFill>
                    <w14:schemeClr w14:val="tx1"/>
                  </w14:solidFill>
                </w14:textFill>
              </w:rPr>
              <w:t>SS</w:t>
            </w:r>
            <w:r>
              <w:rPr>
                <w:rFonts w:hint="eastAsia" w:ascii="Times New Roman" w:hAnsi="Times New Roman" w:eastAsia="宋体" w:cs="Times New Roman"/>
                <w:b w:val="0"/>
                <w:bCs w:val="0"/>
                <w:color w:val="000000" w:themeColor="text1"/>
                <w:spacing w:val="-1"/>
                <w:sz w:val="24"/>
                <w:szCs w:val="24"/>
                <w:u w:val="none" w:color="auto"/>
                <w:lang w:val="en-US" w:eastAsia="zh-CN"/>
                <w14:textFill>
                  <w14:solidFill>
                    <w14:schemeClr w14:val="tx1"/>
                  </w14:solidFill>
                </w14:textFill>
              </w:rPr>
              <w:t>98</w:t>
            </w:r>
            <w:r>
              <w:rPr>
                <w:rFonts w:hint="default" w:ascii="Times New Roman" w:hAnsi="Times New Roman" w:eastAsia="宋体" w:cs="Times New Roman"/>
                <w:b w:val="0"/>
                <w:bCs w:val="0"/>
                <w:color w:val="000000" w:themeColor="text1"/>
                <w:spacing w:val="-1"/>
                <w:sz w:val="24"/>
                <w:szCs w:val="24"/>
                <w:u w:val="none" w:color="auto"/>
                <w14:textFill>
                  <w14:solidFill>
                    <w14:schemeClr w14:val="tx1"/>
                  </w14:solidFill>
                </w14:textFill>
              </w:rPr>
              <w:t>mg/L，满足《农田灌溉水质标准》（GB5084-20</w:t>
            </w:r>
            <w:r>
              <w:rPr>
                <w:rFonts w:hint="eastAsia" w:ascii="Times New Roman" w:hAnsi="Times New Roman" w:eastAsia="宋体" w:cs="Times New Roman"/>
                <w:b w:val="0"/>
                <w:bCs w:val="0"/>
                <w:color w:val="000000" w:themeColor="text1"/>
                <w:spacing w:val="-1"/>
                <w:sz w:val="24"/>
                <w:szCs w:val="24"/>
                <w:u w:val="none" w:color="auto"/>
                <w:lang w:val="en-US" w:eastAsia="zh-CN"/>
                <w14:textFill>
                  <w14:solidFill>
                    <w14:schemeClr w14:val="tx1"/>
                  </w14:solidFill>
                </w14:textFill>
              </w:rPr>
              <w:t>21</w:t>
            </w:r>
            <w:r>
              <w:rPr>
                <w:rFonts w:hint="default" w:ascii="Times New Roman" w:hAnsi="Times New Roman" w:eastAsia="宋体" w:cs="Times New Roman"/>
                <w:b w:val="0"/>
                <w:bCs w:val="0"/>
                <w:color w:val="000000" w:themeColor="text1"/>
                <w:spacing w:val="-17"/>
                <w:sz w:val="24"/>
                <w:szCs w:val="24"/>
                <w:u w:val="none" w:color="auto"/>
                <w14:textFill>
                  <w14:solidFill>
                    <w14:schemeClr w14:val="tx1"/>
                  </w14:solidFill>
                </w14:textFill>
              </w:rPr>
              <w:t>）（</w:t>
            </w:r>
            <w:r>
              <w:rPr>
                <w:rFonts w:hint="default" w:ascii="Times New Roman" w:hAnsi="Times New Roman" w:eastAsia="宋体" w:cs="Times New Roman"/>
                <w:b w:val="0"/>
                <w:bCs w:val="0"/>
                <w:color w:val="000000" w:themeColor="text1"/>
                <w:spacing w:val="-1"/>
                <w:sz w:val="24"/>
                <w:szCs w:val="24"/>
                <w:u w:val="none" w:color="auto"/>
                <w14:textFill>
                  <w14:solidFill>
                    <w14:schemeClr w14:val="tx1"/>
                  </w14:solidFill>
                </w14:textFill>
              </w:rPr>
              <w:t>除蔬菜灌溉）中</w:t>
            </w:r>
            <w:r>
              <w:rPr>
                <w:rFonts w:hint="default" w:ascii="Times New Roman" w:hAnsi="Times New Roman" w:eastAsia="宋体" w:cs="Times New Roman"/>
                <w:b w:val="0"/>
                <w:bCs w:val="0"/>
                <w:color w:val="000000" w:themeColor="text1"/>
                <w:spacing w:val="-2"/>
                <w:sz w:val="24"/>
                <w:szCs w:val="24"/>
                <w:u w:val="none" w:color="auto"/>
                <w14:textFill>
                  <w14:solidFill>
                    <w14:schemeClr w14:val="tx1"/>
                  </w14:solidFill>
                </w14:textFill>
              </w:rPr>
              <w:t>COD、</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pacing w:val="-3"/>
                <w:sz w:val="24"/>
                <w:szCs w:val="24"/>
                <w:u w:val="none" w:color="auto"/>
                <w:vertAlign w:val="subscript"/>
                <w:lang w:val="en-US" w:eastAsia="zh-CN"/>
                <w14:textFill>
                  <w14:solidFill>
                    <w14:schemeClr w14:val="tx1"/>
                  </w14:solidFill>
                </w14:textFill>
              </w:rPr>
              <w:t>5</w:t>
            </w:r>
            <w:r>
              <w:rPr>
                <w:rFonts w:hint="eastAsia" w:ascii="Times New Roman" w:hAnsi="Times New Roman" w:eastAsia="宋体" w:cs="Times New Roman"/>
                <w:b w:val="0"/>
                <w:bCs w:val="0"/>
                <w:color w:val="000000" w:themeColor="text1"/>
                <w:spacing w:val="-2"/>
                <w:sz w:val="24"/>
                <w:szCs w:val="24"/>
                <w:u w:val="none" w:color="auto"/>
                <w:lang w:eastAsia="zh-CN"/>
                <w14:textFill>
                  <w14:solidFill>
                    <w14:schemeClr w14:val="tx1"/>
                  </w14:solidFill>
                </w14:textFill>
              </w:rPr>
              <w:t>、</w:t>
            </w:r>
            <w:r>
              <w:rPr>
                <w:rFonts w:hint="default" w:ascii="Times New Roman" w:hAnsi="Times New Roman" w:eastAsia="宋体" w:cs="Times New Roman"/>
                <w:b w:val="0"/>
                <w:bCs w:val="0"/>
                <w:color w:val="000000" w:themeColor="text1"/>
                <w:spacing w:val="-2"/>
                <w:sz w:val="24"/>
                <w:szCs w:val="24"/>
                <w:u w:val="none" w:color="auto"/>
                <w14:textFill>
                  <w14:solidFill>
                    <w14:schemeClr w14:val="tx1"/>
                  </w14:solidFill>
                </w14:textFill>
              </w:rPr>
              <w:t>SS限值要求（旱作：COD≤</w:t>
            </w:r>
            <w:r>
              <w:rPr>
                <w:rFonts w:hint="eastAsia" w:ascii="Times New Roman" w:hAnsi="Times New Roman" w:eastAsia="宋体" w:cs="Times New Roman"/>
                <w:b w:val="0"/>
                <w:bCs w:val="0"/>
                <w:color w:val="000000" w:themeColor="text1"/>
                <w:spacing w:val="-2"/>
                <w:sz w:val="24"/>
                <w:szCs w:val="24"/>
                <w:u w:val="none" w:color="auto"/>
                <w:lang w:val="en-US" w:eastAsia="zh-CN"/>
                <w14:textFill>
                  <w14:solidFill>
                    <w14:schemeClr w14:val="tx1"/>
                  </w14:solidFill>
                </w14:textFill>
              </w:rPr>
              <w:t>2</w:t>
            </w:r>
            <w:r>
              <w:rPr>
                <w:rFonts w:hint="default" w:ascii="Times New Roman" w:hAnsi="Times New Roman" w:eastAsia="宋体" w:cs="Times New Roman"/>
                <w:b w:val="0"/>
                <w:bCs w:val="0"/>
                <w:color w:val="000000" w:themeColor="text1"/>
                <w:spacing w:val="-2"/>
                <w:sz w:val="24"/>
                <w:szCs w:val="24"/>
                <w:u w:val="none" w:color="auto"/>
                <w14:textFill>
                  <w14:solidFill>
                    <w14:schemeClr w14:val="tx1"/>
                  </w14:solidFill>
                </w14:textFill>
              </w:rPr>
              <w:t>00，</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BOD</w:t>
            </w:r>
            <w:r>
              <w:rPr>
                <w:rFonts w:hint="eastAsia" w:ascii="Times New Roman" w:hAnsi="Times New Roman" w:eastAsia="宋体" w:cs="Times New Roman"/>
                <w:b w:val="0"/>
                <w:bCs w:val="0"/>
                <w:color w:val="000000" w:themeColor="text1"/>
                <w:spacing w:val="-3"/>
                <w:sz w:val="24"/>
                <w:szCs w:val="24"/>
                <w:u w:val="none" w:color="auto"/>
                <w:vertAlign w:val="subscript"/>
                <w:lang w:val="en-US" w:eastAsia="zh-CN"/>
                <w14:textFill>
                  <w14:solidFill>
                    <w14:schemeClr w14:val="tx1"/>
                  </w14:solidFill>
                </w14:textFill>
              </w:rPr>
              <w:t>5</w:t>
            </w:r>
            <w:r>
              <w:rPr>
                <w:rFonts w:hint="default" w:ascii="Times New Roman" w:hAnsi="Times New Roman" w:eastAsia="宋体" w:cs="Times New Roman"/>
                <w:b w:val="0"/>
                <w:bCs w:val="0"/>
                <w:color w:val="000000" w:themeColor="text1"/>
                <w:spacing w:val="-2"/>
                <w:sz w:val="24"/>
                <w:szCs w:val="24"/>
                <w:u w:val="none" w:color="auto"/>
                <w14:textFill>
                  <w14:solidFill>
                    <w14:schemeClr w14:val="tx1"/>
                  </w14:solidFill>
                </w14:textFill>
              </w:rPr>
              <w:t>≤</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1</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00</w:t>
            </w:r>
            <w:r>
              <w:rPr>
                <w:rFonts w:hint="eastAsia" w:ascii="Times New Roman" w:hAnsi="Times New Roman" w:eastAsia="宋体" w:cs="Times New Roman"/>
                <w:b w:val="0"/>
                <w:bCs w:val="0"/>
                <w:color w:val="000000" w:themeColor="text1"/>
                <w:spacing w:val="-3"/>
                <w:sz w:val="24"/>
                <w:szCs w:val="24"/>
                <w:u w:val="none" w:color="auto"/>
                <w:lang w:eastAsia="zh-CN"/>
                <w14:textFill>
                  <w14:solidFill>
                    <w14:schemeClr w14:val="tx1"/>
                  </w14:solidFill>
                </w14:textFill>
              </w:rPr>
              <w:t>，</w:t>
            </w:r>
            <w:r>
              <w:rPr>
                <w:rFonts w:hint="eastAsia" w:ascii="Times New Roman" w:hAnsi="Times New Roman" w:eastAsia="宋体" w:cs="Times New Roman"/>
                <w:b w:val="0"/>
                <w:bCs w:val="0"/>
                <w:color w:val="000000" w:themeColor="text1"/>
                <w:spacing w:val="-3"/>
                <w:sz w:val="24"/>
                <w:szCs w:val="24"/>
                <w:u w:val="none" w:color="auto"/>
                <w:lang w:val="en-US" w:eastAsia="zh-CN"/>
                <w14:textFill>
                  <w14:solidFill>
                    <w14:schemeClr w14:val="tx1"/>
                  </w14:solidFill>
                </w14:textFill>
              </w:rPr>
              <w:t>SS</w:t>
            </w:r>
            <w:r>
              <w:rPr>
                <w:rFonts w:hint="default" w:ascii="Times New Roman" w:hAnsi="Times New Roman" w:eastAsia="宋体" w:cs="Times New Roman"/>
                <w:b w:val="0"/>
                <w:bCs w:val="0"/>
                <w:color w:val="000000" w:themeColor="text1"/>
                <w:spacing w:val="-2"/>
                <w:sz w:val="24"/>
                <w:szCs w:val="24"/>
                <w:u w:val="none" w:color="auto"/>
                <w14:textFill>
                  <w14:solidFill>
                    <w14:schemeClr w14:val="tx1"/>
                  </w14:solidFill>
                </w14:textFill>
              </w:rPr>
              <w:t>≤</w:t>
            </w:r>
            <w:r>
              <w:rPr>
                <w:rFonts w:hint="eastAsia" w:ascii="Times New Roman" w:hAnsi="Times New Roman" w:eastAsia="宋体" w:cs="Times New Roman"/>
                <w:b w:val="0"/>
                <w:bCs w:val="0"/>
                <w:color w:val="000000" w:themeColor="text1"/>
                <w:spacing w:val="-2"/>
                <w:sz w:val="24"/>
                <w:szCs w:val="24"/>
                <w:u w:val="none" w:color="auto"/>
                <w:lang w:val="en-US" w:eastAsia="zh-CN"/>
                <w14:textFill>
                  <w14:solidFill>
                    <w14:schemeClr w14:val="tx1"/>
                  </w14:solidFill>
                </w14:textFill>
              </w:rPr>
              <w:t>100</w:t>
            </w:r>
            <w:r>
              <w:rPr>
                <w:rFonts w:hint="default" w:ascii="Times New Roman" w:hAnsi="Times New Roman" w:eastAsia="宋体" w:cs="Times New Roman"/>
                <w:b w:val="0"/>
                <w:bCs w:val="0"/>
                <w:color w:val="000000" w:themeColor="text1"/>
                <w:spacing w:val="-23"/>
                <w:sz w:val="24"/>
                <w:szCs w:val="24"/>
                <w:u w:val="none" w:color="auto"/>
                <w14:textFill>
                  <w14:solidFill>
                    <w14:schemeClr w14:val="tx1"/>
                  </w14:solidFill>
                </w14:textFill>
              </w:rPr>
              <w:t>），</w:t>
            </w: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经化粪池处理后，和生活污水一起定期拉走施肥（不作为蔬菜灌溉水）</w:t>
            </w:r>
            <w:r>
              <w:rPr>
                <w:rFonts w:hint="default" w:ascii="Times New Roman" w:hAnsi="Times New Roman" w:eastAsia="宋体" w:cs="Times New Roman"/>
                <w:b w:val="0"/>
                <w:bCs w:val="0"/>
                <w:color w:val="000000" w:themeColor="text1"/>
                <w:spacing w:val="4"/>
                <w:sz w:val="24"/>
                <w:szCs w:val="24"/>
                <w:u w:val="none" w:color="auto"/>
                <w14:textFill>
                  <w14:solidFill>
                    <w14:schemeClr w14:val="tx1"/>
                  </w14:solidFill>
                </w14:textFill>
              </w:rPr>
              <w:t>是可行的。</w:t>
            </w:r>
          </w:p>
          <w:p>
            <w:pPr>
              <w:keepNext w:val="0"/>
              <w:keepLines w:val="0"/>
              <w:pageBreakBefore w:val="0"/>
              <w:widowControl w:val="0"/>
              <w:kinsoku/>
              <w:wordWrap w:val="0"/>
              <w:overflowPunct/>
              <w:topLinePunct w:val="0"/>
              <w:autoSpaceDE/>
              <w:autoSpaceDN/>
              <w:bidi w:val="0"/>
              <w:adjustRightInd/>
              <w:snapToGrid/>
              <w:spacing w:line="500" w:lineRule="exact"/>
              <w:ind w:left="0" w:right="0" w:firstLine="492" w:firstLineChars="200"/>
              <w:textAlignment w:val="auto"/>
              <w:rPr>
                <w:rFonts w:hint="eastAsia" w:ascii="Times New Roman" w:hAnsi="Times New Roman" w:cs="宋体"/>
                <w:bCs/>
                <w:color w:val="000000" w:themeColor="text1"/>
                <w:spacing w:val="-10"/>
                <w:szCs w:val="21"/>
                <w14:textFill>
                  <w14:solidFill>
                    <w14:schemeClr w14:val="tx1"/>
                  </w14:solidFill>
                </w14:textFill>
              </w:rPr>
            </w:pPr>
            <w:r>
              <w:rPr>
                <w:rFonts w:hint="default" w:ascii="Times New Roman" w:hAnsi="Times New Roman" w:eastAsia="宋体" w:cs="Times New Roman"/>
                <w:b w:val="0"/>
                <w:bCs w:val="0"/>
                <w:color w:val="000000" w:themeColor="text1"/>
                <w:spacing w:val="3"/>
                <w:sz w:val="24"/>
                <w:szCs w:val="24"/>
                <w:u w:val="none" w:color="auto"/>
                <w14:textFill>
                  <w14:solidFill>
                    <w14:schemeClr w14:val="tx1"/>
                  </w14:solidFill>
                </w14:textFill>
              </w:rPr>
              <w:t>生活污水采取化粪池处理后定期拉走施肥，属于推荐可行性技术，处理</w:t>
            </w:r>
            <w:r>
              <w:rPr>
                <w:rFonts w:hint="default" w:ascii="Times New Roman" w:hAnsi="Times New Roman" w:eastAsia="宋体" w:cs="Times New Roman"/>
                <w:b w:val="0"/>
                <w:bCs w:val="0"/>
                <w:color w:val="000000" w:themeColor="text1"/>
                <w:spacing w:val="4"/>
                <w:sz w:val="24"/>
                <w:szCs w:val="24"/>
                <w:u w:val="none" w:color="auto"/>
                <w14:textFill>
                  <w14:solidFill>
                    <w14:schemeClr w14:val="tx1"/>
                  </w14:solidFill>
                </w14:textFill>
              </w:rPr>
              <w:t>措施切实可行。</w:t>
            </w:r>
          </w:p>
        </w:tc>
      </w:tr>
    </w:tbl>
    <w:p>
      <w:pPr>
        <w:keepLines w:val="0"/>
        <w:pageBreakBefore w:val="0"/>
        <w:kinsoku/>
        <w:wordWrap w:val="0"/>
        <w:topLinePunct w:val="0"/>
        <w:bidi w:val="0"/>
        <w:adjustRightInd w:val="0"/>
        <w:snapToGrid w:val="0"/>
        <w:spacing w:line="360" w:lineRule="auto"/>
        <w:rPr>
          <w:rFonts w:ascii="Times New Roman" w:hAnsi="Times New Roman" w:cs="宋体"/>
          <w:b/>
          <w:color w:val="000000" w:themeColor="text1"/>
          <w:kern w:val="0"/>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685" w:hRule="atLeast"/>
          <w:jc w:val="center"/>
        </w:trPr>
        <w:tc>
          <w:tcPr>
            <w:tcW w:w="746" w:type="dxa"/>
            <w:noWrap w:val="0"/>
            <w:tcMar>
              <w:left w:w="28" w:type="dxa"/>
              <w:right w:w="28" w:type="dxa"/>
            </w:tcMar>
            <w:vAlign w:val="center"/>
          </w:tcPr>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运营</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期环</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境影</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响和</w:t>
            </w:r>
          </w:p>
          <w:p>
            <w:pPr>
              <w:keepLines w:val="0"/>
              <w:pageBreakBefore w:val="0"/>
              <w:kinsoku/>
              <w:wordWrap w:val="0"/>
              <w:topLinePunct w:val="0"/>
              <w:bidi w:val="0"/>
              <w:adjustRightInd w:val="0"/>
              <w:snapToGrid w:val="0"/>
              <w:jc w:val="center"/>
              <w:rPr>
                <w:rFonts w:hint="eastAsia"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保护</w:t>
            </w:r>
          </w:p>
          <w:p>
            <w:pPr>
              <w:keepLines w:val="0"/>
              <w:pageBreakBefore w:val="0"/>
              <w:kinsoku/>
              <w:wordWrap w:val="0"/>
              <w:topLinePunct w:val="0"/>
              <w:bidi w:val="0"/>
              <w:adjustRightInd w:val="0"/>
              <w:snapToGrid w:val="0"/>
              <w:jc w:val="center"/>
              <w:rPr>
                <w:rFonts w:ascii="Times New Roman" w:hAnsi="Times New Roman" w:cs="宋体"/>
                <w:bCs/>
                <w:color w:val="000000" w:themeColor="text1"/>
                <w:szCs w:val="21"/>
                <w14:textFill>
                  <w14:solidFill>
                    <w14:schemeClr w14:val="tx1"/>
                  </w14:solidFill>
                </w14:textFill>
              </w:rPr>
            </w:pPr>
            <w:r>
              <w:rPr>
                <w:rFonts w:hint="eastAsia" w:ascii="Times New Roman" w:hAnsi="Times New Roman" w:cs="宋体"/>
                <w:bCs/>
                <w:color w:val="000000" w:themeColor="text1"/>
                <w:szCs w:val="21"/>
                <w14:textFill>
                  <w14:solidFill>
                    <w14:schemeClr w14:val="tx1"/>
                  </w14:solidFill>
                </w14:textFill>
              </w:rPr>
              <w:t>措施</w:t>
            </w:r>
          </w:p>
        </w:tc>
        <w:tc>
          <w:tcPr>
            <w:tcW w:w="8162" w:type="dxa"/>
            <w:noWrap w:val="0"/>
            <w:vAlign w:val="center"/>
          </w:tcPr>
          <w:p>
            <w:pPr>
              <w:keepLines w:val="0"/>
              <w:pageBreakBefore w:val="0"/>
              <w:kinsoku/>
              <w:wordWrap w:val="0"/>
              <w:topLinePunct w:val="0"/>
              <w:bidi w:val="0"/>
              <w:spacing w:line="520" w:lineRule="exact"/>
              <w:rPr>
                <w:rFonts w:ascii="Times New Roman" w:hAnsi="Times New Roman"/>
                <w:b/>
                <w:color w:val="000000" w:themeColor="text1"/>
                <w:sz w:val="24"/>
                <w:szCs w:val="20"/>
                <w14:textFill>
                  <w14:solidFill>
                    <w14:schemeClr w14:val="tx1"/>
                  </w14:solidFill>
                </w14:textFill>
              </w:rPr>
            </w:pPr>
            <w:r>
              <w:rPr>
                <w:rFonts w:ascii="Times New Roman" w:hAnsi="Times New Roman"/>
                <w:b/>
                <w:color w:val="000000" w:themeColor="text1"/>
                <w:sz w:val="24"/>
                <w:szCs w:val="20"/>
                <w14:textFill>
                  <w14:solidFill>
                    <w14:schemeClr w14:val="tx1"/>
                  </w14:solidFill>
                </w14:textFill>
              </w:rPr>
              <w:t>4.3</w:t>
            </w:r>
            <w:r>
              <w:rPr>
                <w:rFonts w:hint="eastAsia" w:ascii="Times New Roman" w:hAnsi="Times New Roman"/>
                <w:b/>
                <w:color w:val="000000" w:themeColor="text1"/>
                <w:sz w:val="24"/>
                <w:szCs w:val="20"/>
                <w:lang w:val="en-US" w:eastAsia="zh-CN"/>
                <w14:textFill>
                  <w14:solidFill>
                    <w14:schemeClr w14:val="tx1"/>
                  </w14:solidFill>
                </w14:textFill>
              </w:rPr>
              <w:t xml:space="preserve"> </w:t>
            </w:r>
            <w:r>
              <w:rPr>
                <w:rFonts w:hint="eastAsia" w:ascii="Times New Roman" w:hAnsi="Times New Roman"/>
                <w:b/>
                <w:color w:val="000000" w:themeColor="text1"/>
                <w:sz w:val="24"/>
                <w:szCs w:val="20"/>
                <w14:textFill>
                  <w14:solidFill>
                    <w14:schemeClr w14:val="tx1"/>
                  </w14:solidFill>
                </w14:textFill>
              </w:rPr>
              <w:t>噪声</w:t>
            </w:r>
          </w:p>
          <w:p>
            <w:pPr>
              <w:keepLines w:val="0"/>
              <w:pageBreakBefore w:val="0"/>
              <w:kinsoku/>
              <w:wordWrap w:val="0"/>
              <w:topLinePunct w:val="0"/>
              <w:bidi w:val="0"/>
              <w:spacing w:line="520" w:lineRule="exact"/>
              <w:rPr>
                <w:rFonts w:hint="default" w:ascii="Times New Roman" w:hAnsi="Times New Roman" w:eastAsia="宋体"/>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4.3.1 源强及采取的措施</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本项目为危险废物回收、贮存、转运项目，只在厂房内进行暂存。噪声源主要为叉车、油泵和风机，噪声值在70~80dB(A)之间。为防止噪声对周围环境的影响，要求建设单位采取以下措施：合理布置总平面布置图；选用低噪声设备；项目高噪声设备均在车间内作业，且设置减振基础，其他无法在室内设置的噪声设备如风机等设橡胶隔振垫，加装消声器，进行基础减振，重点区域设置隔声板；定期对设备维修管理，维持设备正常运行状态；厂房四周种植乔木类绿植，对噪声进行阻隔和吸收；车间设置隔声门窗等。</w:t>
            </w:r>
          </w:p>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室内噪声源情况见表4-6，室外噪声源情况见表4-7。</w:t>
            </w:r>
          </w:p>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表4-6  工业企业噪声声源源强调查表（室内声源）</w:t>
            </w:r>
          </w:p>
          <w:tbl>
            <w:tblPr>
              <w:tblStyle w:val="18"/>
              <w:tblW w:w="4967"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315"/>
              <w:gridCol w:w="540"/>
              <w:gridCol w:w="425"/>
              <w:gridCol w:w="663"/>
              <w:gridCol w:w="870"/>
              <w:gridCol w:w="1005"/>
              <w:gridCol w:w="366"/>
              <w:gridCol w:w="320"/>
              <w:gridCol w:w="351"/>
              <w:gridCol w:w="321"/>
              <w:gridCol w:w="600"/>
              <w:gridCol w:w="531"/>
              <w:gridCol w:w="601"/>
              <w:gridCol w:w="579"/>
              <w:gridCol w:w="392"/>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trPr>
              <w:tc>
                <w:tcPr>
                  <w:tcW w:w="20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序号</w:t>
                  </w:r>
                </w:p>
              </w:tc>
              <w:tc>
                <w:tcPr>
                  <w:tcW w:w="34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声源名称</w:t>
                  </w:r>
                </w:p>
              </w:tc>
              <w:tc>
                <w:tcPr>
                  <w:tcW w:w="270"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型号/功率</w:t>
                  </w:r>
                </w:p>
              </w:tc>
              <w:tc>
                <w:tcPr>
                  <w:tcW w:w="973"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声源源强</w:t>
                  </w:r>
                </w:p>
              </w:tc>
              <w:tc>
                <w:tcPr>
                  <w:tcW w:w="638"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降噪措施</w:t>
                  </w:r>
                </w:p>
              </w:tc>
              <w:tc>
                <w:tcPr>
                  <w:tcW w:w="658"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空间位置</w:t>
                  </w:r>
                </w:p>
              </w:tc>
              <w:tc>
                <w:tcPr>
                  <w:tcW w:w="20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距室内边界距离/m</w:t>
                  </w:r>
                </w:p>
              </w:tc>
              <w:tc>
                <w:tcPr>
                  <w:tcW w:w="38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室内边界噪声级/dB(A)</w:t>
                  </w:r>
                </w:p>
              </w:tc>
              <w:tc>
                <w:tcPr>
                  <w:tcW w:w="337"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运行时段</w:t>
                  </w:r>
                </w:p>
              </w:tc>
              <w:tc>
                <w:tcPr>
                  <w:tcW w:w="381"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建筑物插入损失/dB(A)</w:t>
                  </w:r>
                </w:p>
              </w:tc>
              <w:tc>
                <w:tcPr>
                  <w:tcW w:w="611" w:type="pct"/>
                  <w:gridSpan w:val="2"/>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建筑物外噪声</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4" w:hRule="atLeast"/>
              </w:trPr>
              <w:tc>
                <w:tcPr>
                  <w:tcW w:w="20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43"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70"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声压级/dB(A)</w:t>
                  </w:r>
                </w:p>
              </w:tc>
              <w:tc>
                <w:tcPr>
                  <w:tcW w:w="5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距声源距离/m</w:t>
                  </w:r>
                </w:p>
              </w:tc>
              <w:tc>
                <w:tcPr>
                  <w:tcW w:w="638" w:type="pct"/>
                  <w:vMerge w:val="continue"/>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X</w:t>
                  </w:r>
                </w:p>
              </w:tc>
              <w:tc>
                <w:tcPr>
                  <w:tcW w:w="203"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Y</w:t>
                  </w:r>
                </w:p>
              </w:tc>
              <w:tc>
                <w:tcPr>
                  <w:tcW w:w="222"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w:t>
                  </w:r>
                </w:p>
              </w:tc>
              <w:tc>
                <w:tcPr>
                  <w:tcW w:w="20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81"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37"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81"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367" w:type="pct"/>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声压级/dB（A）</w:t>
                  </w:r>
                </w:p>
              </w:tc>
              <w:tc>
                <w:tcPr>
                  <w:tcW w:w="244" w:type="pct"/>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建筑物外距离/m</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328" w:hRule="atLeast"/>
              </w:trPr>
              <w:tc>
                <w:tcPr>
                  <w:tcW w:w="2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叉车</w:t>
                  </w:r>
                </w:p>
              </w:tc>
              <w:tc>
                <w:tcPr>
                  <w:tcW w:w="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4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80</w:t>
                  </w:r>
                </w:p>
              </w:tc>
              <w:tc>
                <w:tcPr>
                  <w:tcW w:w="5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6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隔声</w:t>
                  </w:r>
                </w:p>
              </w:tc>
              <w:tc>
                <w:tcPr>
                  <w:tcW w:w="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p>
              </w:tc>
              <w:tc>
                <w:tcPr>
                  <w:tcW w:w="2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2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2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10</w:t>
                  </w:r>
                </w:p>
              </w:tc>
              <w:tc>
                <w:tcPr>
                  <w:tcW w:w="3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60</w:t>
                  </w:r>
                </w:p>
              </w:tc>
              <w:tc>
                <w:tcPr>
                  <w:tcW w:w="3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2400h</w:t>
                  </w:r>
                </w:p>
              </w:tc>
              <w:tc>
                <w:tcPr>
                  <w:tcW w:w="3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25</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2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680" w:hRule="atLeast"/>
              </w:trPr>
              <w:tc>
                <w:tcPr>
                  <w:tcW w:w="20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34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油泵</w:t>
                  </w:r>
                </w:p>
              </w:tc>
              <w:tc>
                <w:tcPr>
                  <w:tcW w:w="27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4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70</w:t>
                  </w:r>
                </w:p>
              </w:tc>
              <w:tc>
                <w:tcPr>
                  <w:tcW w:w="55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638"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减振、隔声</w:t>
                  </w:r>
                </w:p>
              </w:tc>
              <w:tc>
                <w:tcPr>
                  <w:tcW w:w="23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p>
              </w:tc>
              <w:tc>
                <w:tcPr>
                  <w:tcW w:w="203"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p>
              </w:tc>
              <w:tc>
                <w:tcPr>
                  <w:tcW w:w="222"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20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8</w:t>
                  </w:r>
                </w:p>
              </w:tc>
              <w:tc>
                <w:tcPr>
                  <w:tcW w:w="3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55</w:t>
                  </w:r>
                </w:p>
              </w:tc>
              <w:tc>
                <w:tcPr>
                  <w:tcW w:w="33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2400h</w:t>
                  </w:r>
                </w:p>
              </w:tc>
              <w:tc>
                <w:tcPr>
                  <w:tcW w:w="38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25</w:t>
                  </w:r>
                </w:p>
              </w:tc>
              <w:tc>
                <w:tcPr>
                  <w:tcW w:w="367"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45</w:t>
                  </w:r>
                </w:p>
              </w:tc>
              <w:tc>
                <w:tcPr>
                  <w:tcW w:w="244"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3" w:hRule="atLeast"/>
              </w:trPr>
              <w:tc>
                <w:tcPr>
                  <w:tcW w:w="5000" w:type="pct"/>
                  <w:gridSpan w:val="15"/>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left"/>
                    <w:textAlignment w:val="auto"/>
                    <w:rPr>
                      <w:rFonts w:hint="eastAsia" w:ascii="Times New Roman" w:hAnsi="Times New Roman" w:eastAsia="宋体" w:cs="Times New Roman"/>
                      <w:color w:val="000000" w:themeColor="text1"/>
                      <w:kern w:val="0"/>
                      <w:sz w:val="18"/>
                      <w:szCs w:val="18"/>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18"/>
                      <w:szCs w:val="18"/>
                      <w:highlight w:val="none"/>
                      <w:lang w:val="en-US" w:eastAsia="zh-CN"/>
                      <w14:textFill>
                        <w14:solidFill>
                          <w14:schemeClr w14:val="tx1"/>
                        </w14:solidFill>
                      </w14:textFill>
                    </w:rPr>
                    <w:t>备注：相同区域内相同设备选取距离室内边界距离最近的1台为例</w:t>
                  </w:r>
                </w:p>
              </w:tc>
            </w:tr>
          </w:tbl>
          <w:p>
            <w:pPr>
              <w:keepNext w:val="0"/>
              <w:keepLines w:val="0"/>
              <w:pageBreakBefore w:val="0"/>
              <w:widowControl w:val="0"/>
              <w:kinsoku/>
              <w:wordWrap w:val="0"/>
              <w:overflowPunct/>
              <w:topLinePunct w:val="0"/>
              <w:autoSpaceDE/>
              <w:autoSpaceDN/>
              <w:bidi w:val="0"/>
              <w:adjustRightInd w:val="0"/>
              <w:snapToGrid w:val="0"/>
              <w:spacing w:line="240" w:lineRule="auto"/>
              <w:ind w:firstLine="0" w:firstLineChars="0"/>
              <w:jc w:val="center"/>
              <w:textAlignment w:val="auto"/>
              <w:rPr>
                <w:rFonts w:hint="default" w:ascii="Times New Roman" w:hAnsi="Times New Roman"/>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表4-7  噪声声源源强调查表（室外声源）</w:t>
            </w:r>
          </w:p>
          <w:tbl>
            <w:tblPr>
              <w:tblStyle w:val="18"/>
              <w:tblW w:w="4998" w:type="pct"/>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autofit"/>
              <w:tblCellMar>
                <w:top w:w="0" w:type="dxa"/>
                <w:left w:w="108" w:type="dxa"/>
                <w:bottom w:w="0" w:type="dxa"/>
                <w:right w:w="108" w:type="dxa"/>
              </w:tblCellMar>
            </w:tblPr>
            <w:tblGrid>
              <w:gridCol w:w="543"/>
              <w:gridCol w:w="1006"/>
              <w:gridCol w:w="782"/>
              <w:gridCol w:w="668"/>
              <w:gridCol w:w="571"/>
              <w:gridCol w:w="662"/>
              <w:gridCol w:w="1199"/>
              <w:gridCol w:w="460"/>
              <w:gridCol w:w="1034"/>
              <w:gridCol w:w="1003"/>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458" w:hRule="atLeast"/>
              </w:trPr>
              <w:tc>
                <w:tcPr>
                  <w:tcW w:w="34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序号</w:t>
                  </w:r>
                </w:p>
              </w:tc>
              <w:tc>
                <w:tcPr>
                  <w:tcW w:w="634"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声源名称</w:t>
                  </w:r>
                </w:p>
              </w:tc>
              <w:tc>
                <w:tcPr>
                  <w:tcW w:w="493"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型号/功率</w:t>
                  </w:r>
                </w:p>
              </w:tc>
              <w:tc>
                <w:tcPr>
                  <w:tcW w:w="1198" w:type="pct"/>
                  <w:gridSpan w:val="3"/>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空间位置</w:t>
                  </w:r>
                </w:p>
              </w:tc>
              <w:tc>
                <w:tcPr>
                  <w:tcW w:w="1046" w:type="pct"/>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声源源强</w:t>
                  </w:r>
                </w:p>
              </w:tc>
              <w:tc>
                <w:tcPr>
                  <w:tcW w:w="65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声源控制措施</w:t>
                  </w:r>
                </w:p>
              </w:tc>
              <w:tc>
                <w:tcPr>
                  <w:tcW w:w="632" w:type="pct"/>
                  <w:vMerge w:val="restar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运行时段</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804" w:hRule="atLeast"/>
              </w:trPr>
              <w:tc>
                <w:tcPr>
                  <w:tcW w:w="342"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4"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93"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4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X</w:t>
                  </w:r>
                </w:p>
              </w:tc>
              <w:tc>
                <w:tcPr>
                  <w:tcW w:w="360"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Y</w:t>
                  </w:r>
                </w:p>
              </w:tc>
              <w:tc>
                <w:tcPr>
                  <w:tcW w:w="41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Z</w:t>
                  </w:r>
                </w:p>
              </w:tc>
              <w:tc>
                <w:tcPr>
                  <w:tcW w:w="756"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声压级/dB(A)</w:t>
                  </w:r>
                </w:p>
              </w:tc>
              <w:tc>
                <w:tcPr>
                  <w:tcW w:w="289"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距声源距离/m</w:t>
                  </w:r>
                </w:p>
              </w:tc>
              <w:tc>
                <w:tcPr>
                  <w:tcW w:w="652"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c>
                <w:tcPr>
                  <w:tcW w:w="632" w:type="pct"/>
                  <w:vMerge w:val="continue"/>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534" w:hRule="atLeast"/>
              </w:trPr>
              <w:tc>
                <w:tcPr>
                  <w:tcW w:w="342"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634"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风机</w:t>
                  </w:r>
                </w:p>
              </w:tc>
              <w:tc>
                <w:tcPr>
                  <w:tcW w:w="493" w:type="pct"/>
                  <w:tcBorders>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w:t>
                  </w:r>
                </w:p>
              </w:tc>
              <w:tc>
                <w:tcPr>
                  <w:tcW w:w="421" w:type="pc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90</w:t>
                  </w:r>
                </w:p>
              </w:tc>
              <w:tc>
                <w:tcPr>
                  <w:tcW w:w="360"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50</w:t>
                  </w:r>
                </w:p>
              </w:tc>
              <w:tc>
                <w:tcPr>
                  <w:tcW w:w="41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756"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75</w:t>
                  </w:r>
                </w:p>
              </w:tc>
              <w:tc>
                <w:tcPr>
                  <w:tcW w:w="289" w:type="pct"/>
                  <w:tcBorders>
                    <w:top w:val="single" w:color="auto" w:sz="4" w:space="0"/>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1</w:t>
                  </w:r>
                </w:p>
              </w:tc>
              <w:tc>
                <w:tcPr>
                  <w:tcW w:w="652" w:type="pct"/>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减振</w:t>
                  </w:r>
                </w:p>
              </w:tc>
              <w:tc>
                <w:tcPr>
                  <w:tcW w:w="632" w:type="pct"/>
                  <w:tcBorders>
                    <w:left w:val="single" w:color="auto" w:sz="4" w:space="0"/>
                    <w:right w:val="single" w:color="auto" w:sz="4" w:space="0"/>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105" w:leftChars="-50" w:right="-105" w:rightChars="-50"/>
                    <w:jc w:val="center"/>
                    <w:textAlignment w:val="auto"/>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pPr>
                  <w:r>
                    <w:rPr>
                      <w:rFonts w:hint="eastAsia"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全天</w:t>
                  </w:r>
                </w:p>
              </w:tc>
            </w:tr>
          </w:tbl>
          <w:p>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left"/>
              <w:textAlignment w:val="auto"/>
              <w:rPr>
                <w:rFonts w:hint="eastAsia" w:ascii="Times New Roman" w:hAnsi="Times New Roman"/>
                <w:b w:val="0"/>
                <w:bCs w:val="0"/>
                <w:color w:val="000000" w:themeColor="text1"/>
                <w:sz w:val="24"/>
                <w:lang w:val="en-US" w:eastAsia="zh-CN"/>
                <w14:textFill>
                  <w14:solidFill>
                    <w14:schemeClr w14:val="tx1"/>
                  </w14:solidFill>
                </w14:textFill>
              </w:rPr>
            </w:pPr>
            <w:r>
              <w:rPr>
                <w:rFonts w:hint="eastAsia" w:ascii="Times New Roman" w:hAnsi="Times New Roman"/>
                <w:b w:val="0"/>
                <w:bCs w:val="0"/>
                <w:color w:val="000000" w:themeColor="text1"/>
                <w:sz w:val="24"/>
                <w:lang w:val="en-US" w:eastAsia="zh-CN"/>
                <w14:textFill>
                  <w14:solidFill>
                    <w14:schemeClr w14:val="tx1"/>
                  </w14:solidFill>
                </w14:textFill>
              </w:rPr>
              <w:t>项目以本项目厂区左下角为原点，正东方向为 X 轴正方向，正北方向为 Y 轴正方向；以地面为基准面，钢结构厂房的隔声量为25～40dB，本项目取25dB。</w:t>
            </w:r>
          </w:p>
          <w:p>
            <w:pPr>
              <w:keepNext w:val="0"/>
              <w:keepLines w:val="0"/>
              <w:pageBreakBefore w:val="0"/>
              <w:widowControl w:val="0"/>
              <w:kinsoku/>
              <w:wordWrap w:val="0"/>
              <w:overflowPunct/>
              <w:topLinePunct w:val="0"/>
              <w:autoSpaceDE/>
              <w:autoSpaceDN/>
              <w:bidi w:val="0"/>
              <w:adjustRightInd w:val="0"/>
              <w:snapToGrid w:val="0"/>
              <w:spacing w:line="500" w:lineRule="exact"/>
              <w:ind w:firstLine="0" w:firstLineChars="0"/>
              <w:jc w:val="both"/>
              <w:textAlignment w:val="auto"/>
              <w:rPr>
                <w:rFonts w:hint="default" w:ascii="Times New Roman" w:hAnsi="Times New Roman"/>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4.3.2 噪声预测</w:t>
            </w:r>
          </w:p>
          <w:p>
            <w:pPr>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lang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本项目采用《环境影响评价技术导则 声环境》（HJ2.4-2021）导则中推荐模式进行预测，模式如下：</w:t>
            </w:r>
          </w:p>
          <w:p>
            <w:pPr>
              <w:pStyle w:val="6"/>
              <w:keepLines w:val="0"/>
              <w:pageBreakBefore w:val="0"/>
              <w:kinsoku/>
              <w:wordWrap w:val="0"/>
              <w:topLinePunct w:val="0"/>
              <w:bidi w:val="0"/>
              <w:spacing w:line="520" w:lineRule="exact"/>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1.室内声源等效室外声源声功率级模型</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声源位于室内，室内声源可采用等效室外声源声功率级法进行计算。设靠近开口处（或窗户）室内、室外某倍频带的声压级或A声级分别为Lp1和Lp2。若声源所在室内声场为近似扩散声场，则室外的倍频带声压级可按下式近似求出：</w:t>
            </w:r>
          </w:p>
          <w:p>
            <w:pPr>
              <w:pStyle w:val="6"/>
              <w:keepLines w:val="0"/>
              <w:pageBreakBefore w:val="0"/>
              <w:kinsoku/>
              <w:wordWrap w:val="0"/>
              <w:topLinePunct w:val="0"/>
              <w:bidi w:val="0"/>
              <w:spacing w:line="520" w:lineRule="exact"/>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Lp2=Lp1－（TL＋6）</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式中：Lp</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1</w:t>
            </w:r>
            <w:r>
              <w:rPr>
                <w:rFonts w:hint="default" w:ascii="Times New Roman" w:hAnsi="Times New Roman" w:eastAsia="宋体" w:cs="Times New Roman"/>
                <w:color w:val="000000" w:themeColor="text1"/>
                <w:sz w:val="24"/>
                <w:highlight w:val="none"/>
                <w14:textFill>
                  <w14:solidFill>
                    <w14:schemeClr w14:val="tx1"/>
                  </w14:solidFill>
                </w14:textFill>
              </w:rPr>
              <w:t>——靠近开口处（或窗户）室内某倍频带的声压级或A声级，dB；</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Lp</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2</w:t>
            </w:r>
            <w:r>
              <w:rPr>
                <w:rFonts w:hint="default" w:ascii="Times New Roman" w:hAnsi="Times New Roman" w:eastAsia="宋体" w:cs="Times New Roman"/>
                <w:color w:val="000000" w:themeColor="text1"/>
                <w:sz w:val="24"/>
                <w:highlight w:val="none"/>
                <w14:textFill>
                  <w14:solidFill>
                    <w14:schemeClr w14:val="tx1"/>
                  </w14:solidFill>
                </w14:textFill>
              </w:rPr>
              <w:t>——靠近开口处（或窗户）室外某倍频带的声压级或A声级，dB；</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TL——隔墙（或窗户）倍频带或A声级的隔声量，dB，本项目取25dB。</w:t>
            </w:r>
          </w:p>
          <w:p>
            <w:pPr>
              <w:pStyle w:val="6"/>
              <w:keepLines w:val="0"/>
              <w:pageBreakBefore w:val="0"/>
              <w:kinsoku/>
              <w:wordWrap w:val="0"/>
              <w:topLinePunct w:val="0"/>
              <w:bidi w:val="0"/>
              <w:spacing w:line="520" w:lineRule="exact"/>
              <w:ind w:firstLine="482" w:firstLineChars="200"/>
              <w:rPr>
                <w:rFonts w:hint="default" w:ascii="Times New Roman" w:hAnsi="Times New Roman" w:eastAsia="宋体" w:cs="Times New Roman"/>
                <w:b/>
                <w:bCs/>
                <w:color w:val="000000" w:themeColor="text1"/>
                <w:sz w:val="24"/>
                <w:highlight w:val="none"/>
                <w14:textFill>
                  <w14:solidFill>
                    <w14:schemeClr w14:val="tx1"/>
                  </w14:solidFill>
                </w14:textFill>
              </w:rPr>
            </w:pPr>
            <w:r>
              <w:rPr>
                <w:rFonts w:hint="default" w:ascii="Times New Roman" w:hAnsi="Times New Roman" w:eastAsia="宋体" w:cs="Times New Roman"/>
                <w:b/>
                <w:bCs/>
                <w:color w:val="000000" w:themeColor="text1"/>
                <w:sz w:val="24"/>
                <w:highlight w:val="none"/>
                <w14:textFill>
                  <w14:solidFill>
                    <w14:schemeClr w14:val="tx1"/>
                  </w14:solidFill>
                </w14:textFill>
              </w:rPr>
              <w:t>2.户外声传播的衰减模型</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1）室外声源在预测点的声压级计算</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户外声传播衰减包括几何发散（Adiv）、大气吸收（Aatm）、地面效应（Agr）、屏障屏蔽（Abar）、其他多方面效应（Amisc）引起的衰减。根据声源声功率级或靠近声源某一参考位置处的已知声级（如实测得到的）、户外声传播衰减，计算距离声源较远处的预测点的声级，用下式计算：</w:t>
            </w:r>
          </w:p>
          <w:p>
            <w:pPr>
              <w:pStyle w:val="6"/>
              <w:keepLines w:val="0"/>
              <w:pageBreakBefore w:val="0"/>
              <w:kinsoku/>
              <w:wordWrap w:val="0"/>
              <w:topLinePunct w:val="0"/>
              <w:bidi w:val="0"/>
              <w:spacing w:line="520" w:lineRule="exact"/>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highlight w:val="none"/>
                <w14:textFill>
                  <w14:solidFill>
                    <w14:schemeClr w14:val="tx1"/>
                  </w14:solidFill>
                </w14:textFill>
              </w:rPr>
              <w:t>(r)=L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highlight w:val="none"/>
                <w14:textFill>
                  <w14:solidFill>
                    <w14:schemeClr w14:val="tx1"/>
                  </w14:solidFill>
                </w14:textFill>
              </w:rPr>
              <w:t>(r</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o</w:t>
            </w:r>
            <w:r>
              <w:rPr>
                <w:rFonts w:hint="default" w:ascii="Times New Roman" w:hAnsi="Times New Roman" w:eastAsia="宋体" w:cs="Times New Roman"/>
                <w:color w:val="000000" w:themeColor="text1"/>
                <w:sz w:val="24"/>
                <w:highlight w:val="none"/>
                <w14:textFill>
                  <w14:solidFill>
                    <w14:schemeClr w14:val="tx1"/>
                  </w14:solidFill>
                </w14:textFill>
              </w:rPr>
              <w:t>) +D</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highlight w:val="none"/>
                <w14:textFill>
                  <w14:solidFill>
                    <w14:schemeClr w14:val="tx1"/>
                  </w14:solidFill>
                </w14:textFill>
              </w:rPr>
              <w:t>– (A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 xml:space="preserve">div </w:t>
            </w:r>
            <w:r>
              <w:rPr>
                <w:rFonts w:hint="default" w:ascii="Times New Roman" w:hAnsi="Times New Roman" w:eastAsia="宋体" w:cs="Times New Roman"/>
                <w:color w:val="000000" w:themeColor="text1"/>
                <w:sz w:val="24"/>
                <w:highlight w:val="none"/>
                <w14:textFill>
                  <w14:solidFill>
                    <w14:schemeClr w14:val="tx1"/>
                  </w14:solidFill>
                </w14:textFill>
              </w:rPr>
              <w:t>+ 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 xml:space="preserve">bar </w:t>
            </w:r>
            <w:r>
              <w:rPr>
                <w:rFonts w:hint="default" w:ascii="Times New Roman" w:hAnsi="Times New Roman" w:eastAsia="宋体" w:cs="Times New Roman"/>
                <w:color w:val="000000" w:themeColor="text1"/>
                <w:sz w:val="24"/>
                <w:highlight w:val="none"/>
                <w14:textFill>
                  <w14:solidFill>
                    <w14:schemeClr w14:val="tx1"/>
                  </w14:solidFill>
                </w14:textFill>
              </w:rPr>
              <w:t>+ 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 w:val="24"/>
                <w:highlight w:val="none"/>
                <w14:textFill>
                  <w14:solidFill>
                    <w14:schemeClr w14:val="tx1"/>
                  </w14:solidFill>
                </w14:textFill>
              </w:rPr>
              <w:t xml:space="preserve"> + 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gr</w:t>
            </w:r>
            <w:r>
              <w:rPr>
                <w:rFonts w:hint="default" w:ascii="Times New Roman" w:hAnsi="Times New Roman" w:eastAsia="宋体" w:cs="Times New Roman"/>
                <w:color w:val="000000" w:themeColor="text1"/>
                <w:sz w:val="24"/>
                <w:highlight w:val="none"/>
                <w14:textFill>
                  <w14:solidFill>
                    <w14:schemeClr w14:val="tx1"/>
                  </w14:solidFill>
                </w14:textFill>
              </w:rPr>
              <w:t>+ 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misc</w:t>
            </w:r>
            <w:r>
              <w:rPr>
                <w:rFonts w:hint="default" w:ascii="Times New Roman" w:hAnsi="Times New Roman" w:eastAsia="宋体" w:cs="Times New Roman"/>
                <w:color w:val="000000" w:themeColor="text1"/>
                <w:sz w:val="24"/>
                <w:highlight w:val="none"/>
                <w14:textFill>
                  <w14:solidFill>
                    <w14:schemeClr w14:val="tx1"/>
                  </w14:solidFill>
                </w14:textFill>
              </w:rPr>
              <w:t>)</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highlight w:val="none"/>
                <w14:textFill>
                  <w14:solidFill>
                    <w14:schemeClr w14:val="tx1"/>
                  </w14:solidFill>
                </w14:textFill>
              </w:rPr>
              <w:t>(r)—距声源r处的A声级，dB（A）；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highlight w:val="none"/>
                <w14:textFill>
                  <w14:solidFill>
                    <w14:schemeClr w14:val="tx1"/>
                  </w14:solidFill>
                </w14:textFill>
              </w:rPr>
              <w:t>(r</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o</w:t>
            </w:r>
            <w:r>
              <w:rPr>
                <w:rFonts w:hint="default" w:ascii="Times New Roman" w:hAnsi="Times New Roman" w:eastAsia="宋体" w:cs="Times New Roman"/>
                <w:color w:val="000000" w:themeColor="text1"/>
                <w:sz w:val="24"/>
                <w:highlight w:val="none"/>
                <w14:textFill>
                  <w14:solidFill>
                    <w14:schemeClr w14:val="tx1"/>
                  </w14:solidFill>
                </w14:textFill>
              </w:rPr>
              <w:t>)—参考位置r</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o</w:t>
            </w:r>
            <w:r>
              <w:rPr>
                <w:rFonts w:hint="default" w:ascii="Times New Roman" w:hAnsi="Times New Roman" w:eastAsia="宋体" w:cs="Times New Roman"/>
                <w:color w:val="000000" w:themeColor="text1"/>
                <w:sz w:val="24"/>
                <w:highlight w:val="none"/>
                <w14:textFill>
                  <w14:solidFill>
                    <w14:schemeClr w14:val="tx1"/>
                  </w14:solidFill>
                </w14:textFill>
              </w:rPr>
              <w:t>处A声级，dB（A）；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D</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highlight w:val="none"/>
                <w14:textFill>
                  <w14:solidFill>
                    <w14:schemeClr w14:val="tx1"/>
                  </w14:solidFill>
                </w14:textFill>
              </w:rPr>
              <w:t>—指向性校正，它描述点声源的等效连续声压级与产生声功率级 Lw 的全向点声源在规定方向的声级的偏差程度，dB；指向性矫正等于点声源的指向性指数 DI加上计算到小于4π球面度（sr）立体角内的声传播指数D</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Ω</w:t>
            </w:r>
            <w:r>
              <w:rPr>
                <w:rFonts w:hint="default" w:ascii="Times New Roman" w:hAnsi="Times New Roman" w:eastAsia="宋体" w:cs="Times New Roman"/>
                <w:color w:val="000000" w:themeColor="text1"/>
                <w:sz w:val="24"/>
                <w:highlight w:val="none"/>
                <w14:textFill>
                  <w14:solidFill>
                    <w14:schemeClr w14:val="tx1"/>
                  </w14:solidFill>
                </w14:textFill>
              </w:rPr>
              <w:t>，对辐射到自由空间的全向点声源，D</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C</w:t>
            </w:r>
            <w:r>
              <w:rPr>
                <w:rFonts w:hint="default" w:ascii="Times New Roman" w:hAnsi="Times New Roman" w:eastAsia="宋体" w:cs="Times New Roman"/>
                <w:color w:val="000000" w:themeColor="text1"/>
                <w:sz w:val="24"/>
                <w:highlight w:val="none"/>
                <w14:textFill>
                  <w14:solidFill>
                    <w14:schemeClr w14:val="tx1"/>
                  </w14:solidFill>
                </w14:textFill>
              </w:rPr>
              <w:t>取0dB；</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highlight w:val="none"/>
                <w14:textFill>
                  <w14:solidFill>
                    <w14:schemeClr w14:val="tx1"/>
                  </w14:solidFill>
                </w14:textFill>
              </w:rPr>
              <w:t>—几何发散衰减量，dB（A）；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bar</w:t>
            </w:r>
            <w:r>
              <w:rPr>
                <w:rFonts w:hint="default" w:ascii="Times New Roman" w:hAnsi="Times New Roman" w:eastAsia="宋体" w:cs="Times New Roman"/>
                <w:color w:val="000000" w:themeColor="text1"/>
                <w:sz w:val="24"/>
                <w:highlight w:val="none"/>
                <w14:textFill>
                  <w14:solidFill>
                    <w14:schemeClr w14:val="tx1"/>
                  </w14:solidFill>
                </w14:textFill>
              </w:rPr>
              <w:t>—遮挡物引起的声级衰减量，dB（A）；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 w:val="24"/>
                <w:highlight w:val="none"/>
                <w14:textFill>
                  <w14:solidFill>
                    <w14:schemeClr w14:val="tx1"/>
                  </w14:solidFill>
                </w14:textFill>
              </w:rPr>
              <w:t>—空气吸收引起的声级衰减量，dB（A）；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gr</w:t>
            </w:r>
            <w:r>
              <w:rPr>
                <w:rFonts w:hint="default" w:ascii="Times New Roman" w:hAnsi="Times New Roman" w:eastAsia="宋体" w:cs="Times New Roman"/>
                <w:color w:val="000000" w:themeColor="text1"/>
                <w:sz w:val="24"/>
                <w:highlight w:val="none"/>
                <w14:textFill>
                  <w14:solidFill>
                    <w14:schemeClr w14:val="tx1"/>
                  </w14:solidFill>
                </w14:textFill>
              </w:rPr>
              <w:t>—地面效应衰减，dB（A）；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misc</w:t>
            </w:r>
            <w:r>
              <w:rPr>
                <w:rFonts w:hint="default" w:ascii="Times New Roman" w:hAnsi="Times New Roman" w:eastAsia="宋体" w:cs="Times New Roman"/>
                <w:color w:val="000000" w:themeColor="text1"/>
                <w:sz w:val="24"/>
                <w:highlight w:val="none"/>
                <w14:textFill>
                  <w14:solidFill>
                    <w14:schemeClr w14:val="tx1"/>
                  </w14:solidFill>
                </w14:textFill>
              </w:rPr>
              <w:t>—其它多方面原因衰减，dB（A）。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2）衰减量计算</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①空气吸收引起的A声级衰减量按下式计算：</w:t>
            </w:r>
          </w:p>
          <w:p>
            <w:pPr>
              <w:pStyle w:val="6"/>
              <w:keepLines w:val="0"/>
              <w:pageBreakBefore w:val="0"/>
              <w:kinsoku/>
              <w:wordWrap w:val="0"/>
              <w:topLinePunct w:val="0"/>
              <w:bidi w:val="0"/>
              <w:spacing w:line="520" w:lineRule="exact"/>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 w:val="24"/>
                <w:highlight w:val="none"/>
                <w14:textFill>
                  <w14:solidFill>
                    <w14:schemeClr w14:val="tx1"/>
                  </w14:solidFill>
                </w14:textFill>
              </w:rPr>
              <w:t>＝a（r-r</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o</w:t>
            </w:r>
            <w:r>
              <w:rPr>
                <w:rFonts w:hint="default" w:ascii="Times New Roman" w:hAnsi="Times New Roman" w:eastAsia="宋体" w:cs="Times New Roman"/>
                <w:color w:val="000000" w:themeColor="text1"/>
                <w:sz w:val="24"/>
                <w:highlight w:val="none"/>
                <w14:textFill>
                  <w14:solidFill>
                    <w14:schemeClr w14:val="tx1"/>
                  </w14:solidFill>
                </w14:textFill>
              </w:rPr>
              <w:t>）/1000</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a为每1000m空气吸收系数，是温度、湿度和声波频率的函数。本项目设备噪声以中低频为主，空气衰减系数很小，本评价由于计算距离较近，A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atm</w:t>
            </w:r>
            <w:r>
              <w:rPr>
                <w:rFonts w:hint="default" w:ascii="Times New Roman" w:hAnsi="Times New Roman" w:eastAsia="宋体" w:cs="Times New Roman"/>
                <w:color w:val="000000" w:themeColor="text1"/>
                <w:sz w:val="24"/>
                <w:highlight w:val="none"/>
                <w14:textFill>
                  <w14:solidFill>
                    <w14:schemeClr w14:val="tx1"/>
                  </w14:solidFill>
                </w14:textFill>
              </w:rPr>
              <w:t>计算值较小，故在计算时忽略此项。</w:t>
            </w:r>
          </w:p>
          <w:p>
            <w:pPr>
              <w:pStyle w:val="6"/>
              <w:keepLines w:val="0"/>
              <w:pageBreakBefore w:val="0"/>
              <w:kinsoku/>
              <w:wordWrap w:val="0"/>
              <w:topLinePunct w:val="0"/>
              <w:bidi w:val="0"/>
              <w:spacing w:line="520" w:lineRule="exact"/>
              <w:ind w:firstLine="480" w:firstLineChars="200"/>
              <w:rPr>
                <w:rFonts w:hint="default" w:ascii="Times New Roman" w:hAnsi="Times New Roman"/>
                <w:color w:val="000000" w:themeColor="text1"/>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②遮挡物引起的衰减量A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bar</w:t>
            </w:r>
            <w:r>
              <w:rPr>
                <w:rFonts w:hint="default" w:ascii="Times New Roman" w:hAnsi="Times New Roman" w:eastAsia="宋体" w:cs="Times New Roman"/>
                <w:color w:val="000000" w:themeColor="text1"/>
                <w:sz w:val="24"/>
                <w:highlight w:val="none"/>
                <w14:textFill>
                  <w14:solidFill>
                    <w14:schemeClr w14:val="tx1"/>
                  </w14:solidFill>
                </w14:textFill>
              </w:rPr>
              <w:t>位于声源和预测点之间的实体障碍物，如围墙、建筑物、土坡、地堑或绿化林带都能起声屏障作用，从而引起声能量的衰减，具体衰减根据不同声级的传播途径而定，一般取0~10dB(A)，本项目取10。</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③点声源的几何发散衰减（A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highlight w:val="none"/>
                <w14:textFill>
                  <w14:solidFill>
                    <w14:schemeClr w14:val="tx1"/>
                  </w14:solidFill>
                </w14:textFill>
              </w:rPr>
              <w:t>）</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无指向性点声源几何发散衰减的基本公式是：</w:t>
            </w:r>
          </w:p>
          <w:p>
            <w:pPr>
              <w:pStyle w:val="6"/>
              <w:keepLines w:val="0"/>
              <w:pageBreakBefore w:val="0"/>
              <w:kinsoku/>
              <w:wordWrap w:val="0"/>
              <w:topLinePunct w:val="0"/>
              <w:bidi w:val="0"/>
              <w:spacing w:line="520" w:lineRule="exact"/>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highlight w:val="none"/>
                <w14:textFill>
                  <w14:solidFill>
                    <w14:schemeClr w14:val="tx1"/>
                  </w14:solidFill>
                </w14:textFill>
              </w:rPr>
              <w:t>(r)= 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p</w:t>
            </w:r>
            <w:r>
              <w:rPr>
                <w:rFonts w:hint="default" w:ascii="Times New Roman" w:hAnsi="Times New Roman" w:eastAsia="宋体" w:cs="Times New Roman"/>
                <w:color w:val="000000" w:themeColor="text1"/>
                <w:sz w:val="24"/>
                <w:highlight w:val="none"/>
                <w14:textFill>
                  <w14:solidFill>
                    <w14:schemeClr w14:val="tx1"/>
                  </w14:solidFill>
                </w14:textFill>
              </w:rPr>
              <w:t>(r</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)-20lg(r/r</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公式中第二项表示了点声源的几何发散衰减：</w:t>
            </w:r>
          </w:p>
          <w:p>
            <w:pPr>
              <w:pStyle w:val="6"/>
              <w:keepLines w:val="0"/>
              <w:pageBreakBefore w:val="0"/>
              <w:kinsoku/>
              <w:wordWrap w:val="0"/>
              <w:topLinePunct w:val="0"/>
              <w:bidi w:val="0"/>
              <w:spacing w:line="520" w:lineRule="exact"/>
              <w:ind w:firstLine="48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A</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div</w:t>
            </w:r>
            <w:r>
              <w:rPr>
                <w:rFonts w:hint="default" w:ascii="Times New Roman" w:hAnsi="Times New Roman" w:eastAsia="宋体" w:cs="Times New Roman"/>
                <w:color w:val="000000" w:themeColor="text1"/>
                <w:sz w:val="24"/>
                <w:highlight w:val="none"/>
                <w14:textFill>
                  <w14:solidFill>
                    <w14:schemeClr w14:val="tx1"/>
                  </w14:solidFill>
                </w14:textFill>
              </w:rPr>
              <w:t>=20lg(r/r</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0</w:t>
            </w:r>
            <w:r>
              <w:rPr>
                <w:rFonts w:hint="default" w:ascii="Times New Roman" w:hAnsi="Times New Roman" w:eastAsia="宋体" w:cs="Times New Roman"/>
                <w:color w:val="000000" w:themeColor="text1"/>
                <w:sz w:val="24"/>
                <w:highlight w:val="none"/>
                <w14:textFill>
                  <w14:solidFill>
                    <w14:schemeClr w14:val="tx1"/>
                  </w14:solidFill>
                </w14:textFill>
              </w:rPr>
              <w:t>)</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④面声源的几何发散衰减</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参照《环境影响评价技术导则 声环境》（HJ2.4-2021）中附录 A，当预测点和面声源中心距离 r 处于以下条件时，可按下述方法近似计算：r&lt;a/π时，几乎不衰减（Adiv≈0）；当a/π&lt;r&lt;b/π，距离加倍衰减3dB左右，类似线声源衰减特性（Adiv≈10lg（r/r0））；当 r&gt;b/π时，距离加倍衰减趋近于6dB，类似点声源衰减特性（Adiv≈20lg（r/r0））。其中面声源的b&gt;a。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3）预测点A声级计算：</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预测点处的噪声贡献值采用下式计算：</w:t>
            </w:r>
          </w:p>
          <w:p>
            <w:pPr>
              <w:keepLines w:val="0"/>
              <w:pageBreakBefore w:val="0"/>
              <w:kinsoku/>
              <w:wordWrap w:val="0"/>
              <w:topLinePunct w:val="0"/>
              <w:bidi w:val="0"/>
              <w:jc w:val="center"/>
              <w:rPr>
                <w:rFonts w:hint="default" w:ascii="Times New Roman" w:hAnsi="Times New Roman"/>
                <w:color w:val="000000" w:themeColor="text1"/>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2743200" cy="624840"/>
                  <wp:effectExtent l="0" t="0" r="0" b="0"/>
                  <wp:docPr id="4" name="图片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67"/>
                          <pic:cNvPicPr>
                            <a:picLocks noChangeAspect="1"/>
                          </pic:cNvPicPr>
                        </pic:nvPicPr>
                        <pic:blipFill>
                          <a:blip r:embed="rId14"/>
                          <a:stretch>
                            <a:fillRect/>
                          </a:stretch>
                        </pic:blipFill>
                        <pic:spPr>
                          <a:xfrm>
                            <a:off x="0" y="0"/>
                            <a:ext cx="2743200" cy="624840"/>
                          </a:xfrm>
                          <a:prstGeom prst="rect">
                            <a:avLst/>
                          </a:prstGeom>
                          <a:noFill/>
                          <a:ln>
                            <a:noFill/>
                          </a:ln>
                        </pic:spPr>
                      </pic:pic>
                    </a:graphicData>
                  </a:graphic>
                </wp:inline>
              </w:drawing>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eqg</w:t>
            </w:r>
            <w:r>
              <w:rPr>
                <w:rFonts w:hint="default" w:ascii="Times New Roman" w:hAnsi="Times New Roman" w:eastAsia="宋体" w:cs="Times New Roman"/>
                <w:color w:val="000000" w:themeColor="text1"/>
                <w:sz w:val="24"/>
                <w:highlight w:val="none"/>
                <w14:textFill>
                  <w14:solidFill>
                    <w14:schemeClr w14:val="tx1"/>
                  </w14:solidFill>
                </w14:textFill>
              </w:rPr>
              <w:t>——建设项目声源在预测点产生的噪声贡献值，dB（A）；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T——用于计算等效声级的时间，s；</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N——室外声源个数；</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t</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highlight w:val="none"/>
                <w14:textFill>
                  <w14:solidFill>
                    <w14:schemeClr w14:val="tx1"/>
                  </w14:solidFill>
                </w14:textFill>
              </w:rPr>
              <w:t>——在时间内i声源工作时间，s；</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M——等效室外声源个数；</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T</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j</w:t>
            </w:r>
            <w:r>
              <w:rPr>
                <w:rFonts w:hint="default" w:ascii="Times New Roman" w:hAnsi="Times New Roman" w:eastAsia="宋体" w:cs="Times New Roman"/>
                <w:color w:val="000000" w:themeColor="text1"/>
                <w:sz w:val="24"/>
                <w:highlight w:val="none"/>
                <w14:textFill>
                  <w14:solidFill>
                    <w14:schemeClr w14:val="tx1"/>
                  </w14:solidFill>
                </w14:textFill>
              </w:rPr>
              <w:t>——在T时间内j声源工作时间，s。</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当预测点受多声源叠加影响时，采用噪声叠加公式：</w:t>
            </w:r>
          </w:p>
          <w:p>
            <w:pPr>
              <w:pStyle w:val="6"/>
              <w:keepLines w:val="0"/>
              <w:pageBreakBefore w:val="0"/>
              <w:kinsoku/>
              <w:wordWrap w:val="0"/>
              <w:topLinePunct w:val="0"/>
              <w:bidi w:val="0"/>
              <w:spacing w:line="240" w:lineRule="auto"/>
              <w:ind w:firstLine="400" w:firstLineChars="200"/>
              <w:jc w:val="center"/>
              <w:rPr>
                <w:rFonts w:hint="default" w:ascii="Times New Roman" w:hAnsi="Times New Roman" w:eastAsia="宋体" w:cs="Times New Roman"/>
                <w:color w:val="000000" w:themeColor="text1"/>
                <w:sz w:val="24"/>
                <w:highlight w:val="none"/>
                <w14:textFill>
                  <w14:solidFill>
                    <w14:schemeClr w14:val="tx1"/>
                  </w14:solidFill>
                </w14:textFill>
              </w:rPr>
            </w:pPr>
            <w:r>
              <w:rPr>
                <w:rFonts w:ascii="Times New Roman" w:hAnsi="Times New Roman"/>
                <w:color w:val="000000" w:themeColor="text1"/>
                <w14:textFill>
                  <w14:solidFill>
                    <w14:schemeClr w14:val="tx1"/>
                  </w14:solidFill>
                </w14:textFill>
              </w:rPr>
              <w:drawing>
                <wp:inline distT="0" distB="0" distL="114300" distR="114300">
                  <wp:extent cx="1775460" cy="656590"/>
                  <wp:effectExtent l="0" t="0" r="7620" b="13970"/>
                  <wp:docPr id="5" name="图片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68"/>
                          <pic:cNvPicPr>
                            <a:picLocks noChangeAspect="1"/>
                          </pic:cNvPicPr>
                        </pic:nvPicPr>
                        <pic:blipFill>
                          <a:blip r:embed="rId15"/>
                          <a:stretch>
                            <a:fillRect/>
                          </a:stretch>
                        </pic:blipFill>
                        <pic:spPr>
                          <a:xfrm>
                            <a:off x="0" y="0"/>
                            <a:ext cx="1775460" cy="656590"/>
                          </a:xfrm>
                          <a:prstGeom prst="rect">
                            <a:avLst/>
                          </a:prstGeom>
                          <a:noFill/>
                          <a:ln>
                            <a:noFill/>
                          </a:ln>
                        </pic:spPr>
                      </pic:pic>
                    </a:graphicData>
                  </a:graphic>
                </wp:inline>
              </w:drawing>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式中：</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L——总声压级，dB（A）；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L</w:t>
            </w:r>
            <w:r>
              <w:rPr>
                <w:rFonts w:hint="default" w:ascii="Times New Roman" w:hAnsi="Times New Roman" w:eastAsia="宋体" w:cs="Times New Roman"/>
                <w:color w:val="000000" w:themeColor="text1"/>
                <w:sz w:val="24"/>
                <w:highlight w:val="none"/>
                <w:vertAlign w:val="subscript"/>
                <w14:textFill>
                  <w14:solidFill>
                    <w14:schemeClr w14:val="tx1"/>
                  </w14:solidFill>
                </w14:textFill>
              </w:rPr>
              <w:t>i</w:t>
            </w:r>
            <w:r>
              <w:rPr>
                <w:rFonts w:hint="default" w:ascii="Times New Roman" w:hAnsi="Times New Roman" w:eastAsia="宋体" w:cs="Times New Roman"/>
                <w:color w:val="000000" w:themeColor="text1"/>
                <w:sz w:val="24"/>
                <w:highlight w:val="none"/>
                <w14:textFill>
                  <w14:solidFill>
                    <w14:schemeClr w14:val="tx1"/>
                  </w14:solidFill>
                </w14:textFill>
              </w:rPr>
              <w:t>——第i个声源的声压级，dB（A）；</w:t>
            </w:r>
          </w:p>
          <w:p>
            <w:pPr>
              <w:pStyle w:val="6"/>
              <w:keepLines w:val="0"/>
              <w:pageBreakBefore w:val="0"/>
              <w:kinsoku/>
              <w:wordWrap w:val="0"/>
              <w:topLinePunct w:val="0"/>
              <w:bidi w:val="0"/>
              <w:spacing w:line="520" w:lineRule="exact"/>
              <w:ind w:firstLine="480" w:firstLineChars="200"/>
              <w:rPr>
                <w:rFonts w:hint="default" w:ascii="Times New Roman" w:hAnsi="Times New Roman" w:eastAsia="宋体" w:cs="Times New Roman"/>
                <w:color w:val="000000" w:themeColor="text1"/>
                <w:sz w:val="24"/>
                <w:highlight w:val="none"/>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n——声源个数。</w:t>
            </w:r>
          </w:p>
          <w:p>
            <w:pPr>
              <w:pStyle w:val="6"/>
              <w:keepLines w:val="0"/>
              <w:pageBreakBefore w:val="0"/>
              <w:kinsoku/>
              <w:wordWrap w:val="0"/>
              <w:topLinePunct w:val="0"/>
              <w:bidi w:val="0"/>
              <w:spacing w:line="520" w:lineRule="exact"/>
              <w:ind w:firstLine="480" w:firstLineChars="200"/>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pPr>
            <w:r>
              <w:rPr>
                <w:rFonts w:hint="default" w:ascii="Times New Roman" w:hAnsi="Times New Roman" w:eastAsia="宋体" w:cs="Times New Roman"/>
                <w:color w:val="000000" w:themeColor="text1"/>
                <w:sz w:val="24"/>
                <w:highlight w:val="none"/>
                <w14:textFill>
                  <w14:solidFill>
                    <w14:schemeClr w14:val="tx1"/>
                  </w14:solidFill>
                </w14:textFill>
              </w:rPr>
              <w:t>本项目周边50m范围内无声环境保护目标，</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本项目叉车、油泵仅在昼间运行，环保设备风机全天运行，</w:t>
            </w:r>
            <w:r>
              <w:rPr>
                <w:rFonts w:hint="default" w:ascii="Times New Roman" w:hAnsi="Times New Roman" w:eastAsia="宋体" w:cs="Times New Roman"/>
                <w:color w:val="000000" w:themeColor="text1"/>
                <w:sz w:val="24"/>
                <w:highlight w:val="none"/>
                <w14:textFill>
                  <w14:solidFill>
                    <w14:schemeClr w14:val="tx1"/>
                  </w14:solidFill>
                </w14:textFill>
              </w:rPr>
              <w:t>经预测模型计算，本项目对声环境贡献值见</w:t>
            </w:r>
            <w:r>
              <w:rPr>
                <w:rFonts w:hint="eastAsia" w:ascii="Times New Roman" w:hAnsi="Times New Roman" w:eastAsia="宋体" w:cs="Times New Roman"/>
                <w:color w:val="000000" w:themeColor="text1"/>
                <w:sz w:val="24"/>
                <w:highlight w:val="none"/>
                <w:lang w:val="en-US" w:eastAsia="zh-CN"/>
                <w14:textFill>
                  <w14:solidFill>
                    <w14:schemeClr w14:val="tx1"/>
                  </w14:solidFill>
                </w14:textFill>
              </w:rPr>
              <w:t>下表：</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8</w:t>
            </w:r>
            <w:r>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t xml:space="preserve">  厂界噪声贡献值</w:t>
            </w: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结果  单位：dB（A）</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897"/>
              <w:gridCol w:w="676"/>
              <w:gridCol w:w="676"/>
              <w:gridCol w:w="676"/>
              <w:gridCol w:w="676"/>
              <w:gridCol w:w="1904"/>
              <w:gridCol w:w="243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预测点</w:t>
                  </w:r>
                </w:p>
              </w:tc>
              <w:tc>
                <w:tcPr>
                  <w:tcW w:w="850"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贡献值</w:t>
                  </w:r>
                </w:p>
              </w:tc>
              <w:tc>
                <w:tcPr>
                  <w:tcW w:w="850"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达标情况</w:t>
                  </w:r>
                </w:p>
              </w:tc>
              <w:tc>
                <w:tcPr>
                  <w:tcW w:w="2732"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昼间</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夜间</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昼间</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夜间</w:t>
                  </w:r>
                </w:p>
              </w:tc>
              <w:tc>
                <w:tcPr>
                  <w:tcW w:w="119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标准值</w:t>
                  </w:r>
                </w:p>
              </w:tc>
              <w:tc>
                <w:tcPr>
                  <w:tcW w:w="1533"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执行标准名称</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东厂界</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55</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45</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1198"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昼间60、夜间50</w:t>
                  </w:r>
                </w:p>
              </w:tc>
              <w:tc>
                <w:tcPr>
                  <w:tcW w:w="1533"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《工业企业厂界环境</w:t>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噪声排放标准》（GB1</w:t>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2348-2008）2 类标准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南厂界</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55</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43</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119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33"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西厂界</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52</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40</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119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33"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87" w:hRule="atLeast"/>
              </w:trPr>
              <w:tc>
                <w:tcPr>
                  <w:tcW w:w="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北厂界</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54</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z w:val="21"/>
                      <w:szCs w:val="21"/>
                      <w:vertAlign w:val="baseline"/>
                      <w:lang w:val="en-US" w:eastAsia="zh-CN"/>
                      <w14:textFill>
                        <w14:solidFill>
                          <w14:schemeClr w14:val="tx1"/>
                        </w14:solidFill>
                      </w14:textFill>
                    </w:rPr>
                    <w:t>42</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42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t>达标</w:t>
                  </w:r>
                </w:p>
              </w:tc>
              <w:tc>
                <w:tcPr>
                  <w:tcW w:w="119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c>
                <w:tcPr>
                  <w:tcW w:w="1533"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color w:val="000000" w:themeColor="text1"/>
                      <w:sz w:val="21"/>
                      <w:szCs w:val="21"/>
                      <w:vertAlign w:val="baseline"/>
                      <w:lang w:val="en-US" w:eastAsia="zh-CN"/>
                      <w14:textFill>
                        <w14:solidFill>
                          <w14:schemeClr w14:val="tx1"/>
                        </w14:solidFill>
                      </w14:textFill>
                    </w:rPr>
                  </w:pP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由上表可知，在采取噪声控制措施后，项目各厂界昼、夜间噪声贡献值均能达到《工业企业厂界环境噪声排放标准》（</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GB12348-2008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类标准要求，可见，本项目的设备噪声对周边声环境影响较小，不会对厂界声环境产生明显影响。</w:t>
            </w:r>
          </w:p>
          <w:p>
            <w:pPr>
              <w:keepNext w:val="0"/>
              <w:keepLines w:val="0"/>
              <w:pageBreakBefore w:val="0"/>
              <w:widowControl w:val="0"/>
              <w:kinsoku/>
              <w:wordWrap w:val="0"/>
              <w:overflowPunct/>
              <w:topLinePunct w:val="0"/>
              <w:autoSpaceDE/>
              <w:autoSpaceDN/>
              <w:bidi w:val="0"/>
              <w:adjustRightInd w:val="0"/>
              <w:snapToGrid w:val="0"/>
              <w:spacing w:line="500" w:lineRule="exact"/>
              <w:ind w:firstLine="0" w:firstLineChars="0"/>
              <w:jc w:val="both"/>
              <w:textAlignment w:val="auto"/>
              <w:rPr>
                <w:rFonts w:hint="default" w:ascii="Times New Roman" w:hAnsi="Times New Roman"/>
                <w:b/>
                <w:bCs/>
                <w:color w:val="000000" w:themeColor="text1"/>
                <w:sz w:val="24"/>
                <w:lang w:val="en-US" w:eastAsia="zh-CN"/>
                <w14:textFill>
                  <w14:solidFill>
                    <w14:schemeClr w14:val="tx1"/>
                  </w14:solidFill>
                </w14:textFill>
              </w:rPr>
            </w:pPr>
            <w:r>
              <w:rPr>
                <w:rFonts w:hint="eastAsia" w:ascii="Times New Roman" w:hAnsi="Times New Roman"/>
                <w:b/>
                <w:bCs/>
                <w:color w:val="000000" w:themeColor="text1"/>
                <w:sz w:val="24"/>
                <w:lang w:val="en-US" w:eastAsia="zh-CN"/>
                <w14:textFill>
                  <w14:solidFill>
                    <w14:schemeClr w14:val="tx1"/>
                  </w14:solidFill>
                </w14:textFill>
              </w:rPr>
              <w:t>4.3.3 噪声监测计划</w:t>
            </w:r>
          </w:p>
          <w:p>
            <w:pPr>
              <w:keepNext w:val="0"/>
              <w:keepLines w:val="0"/>
              <w:pageBreakBefore w:val="0"/>
              <w:widowControl w:val="0"/>
              <w:kinsoku/>
              <w:wordWrap w:val="0"/>
              <w:overflowPunct/>
              <w:topLinePunct w:val="0"/>
              <w:autoSpaceDE/>
              <w:autoSpaceDN/>
              <w:bidi w:val="0"/>
              <w:adjustRightInd w:val="0"/>
              <w:snapToGrid w:val="0"/>
              <w:spacing w:line="500" w:lineRule="exact"/>
              <w:ind w:firstLine="480" w:firstLineChars="200"/>
              <w:jc w:val="both"/>
              <w:textAlignment w:val="auto"/>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本项目不设噪声监测机构，日常的常规监测工作可定期委托有资质的环境监测单位承担。</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参照</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《排污单位自行监测技术指南</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 xml:space="preserve"> </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总则》（HJ819-2017），</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本项目噪声监测要求如下</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pP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表4-</w:t>
            </w:r>
            <w:r>
              <w:rPr>
                <w:rFonts w:hint="eastAsia"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9</w:t>
            </w:r>
            <w:r>
              <w:rPr>
                <w:rFonts w:hint="default" w:ascii="Times New Roman" w:hAnsi="Times New Roman" w:eastAsia="宋体" w:cs="Times New Roman"/>
                <w:b/>
                <w:bCs/>
                <w:color w:val="000000" w:themeColor="text1"/>
                <w:sz w:val="21"/>
                <w:szCs w:val="21"/>
                <w:highlight w:val="none"/>
                <w:u w:val="none"/>
                <w:lang w:val="en-US" w:eastAsia="zh-CN"/>
                <w14:textFill>
                  <w14:solidFill>
                    <w14:schemeClr w14:val="tx1"/>
                  </w14:solidFill>
                </w14:textFill>
              </w:rPr>
              <w:t xml:space="preserve">  噪声环境监测计划</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726"/>
              <w:gridCol w:w="1262"/>
              <w:gridCol w:w="1262"/>
              <w:gridCol w:w="1059"/>
              <w:gridCol w:w="363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类别</w:t>
                  </w:r>
                </w:p>
              </w:tc>
              <w:tc>
                <w:tcPr>
                  <w:tcW w:w="12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监测点位</w:t>
                  </w:r>
                </w:p>
              </w:tc>
              <w:tc>
                <w:tcPr>
                  <w:tcW w:w="12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监测项目</w:t>
                  </w:r>
                </w:p>
              </w:tc>
              <w:tc>
                <w:tcPr>
                  <w:tcW w:w="10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监测频次</w:t>
                  </w:r>
                </w:p>
              </w:tc>
              <w:tc>
                <w:tcPr>
                  <w:tcW w:w="373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执行标准</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736"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噪声</w:t>
                  </w:r>
                </w:p>
              </w:tc>
              <w:tc>
                <w:tcPr>
                  <w:tcW w:w="12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东南西北厂界外1m</w:t>
                  </w:r>
                </w:p>
              </w:tc>
              <w:tc>
                <w:tcPr>
                  <w:tcW w:w="129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等效连续A声级</w:t>
                  </w:r>
                </w:p>
              </w:tc>
              <w:tc>
                <w:tcPr>
                  <w:tcW w:w="1080" w:type="dxa"/>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1次/季</w:t>
                  </w:r>
                </w:p>
              </w:tc>
              <w:tc>
                <w:tcPr>
                  <w:tcW w:w="3730" w:type="dxa"/>
                  <w:tcBorders>
                    <w:tl2br w:val="nil"/>
                    <w:tr2bl w:val="nil"/>
                  </w:tcBorders>
                  <w:noWrap w:val="0"/>
                  <w:vAlign w:val="center"/>
                </w:tcPr>
                <w:p>
                  <w:pPr>
                    <w:keepNext w:val="0"/>
                    <w:keepLines w:val="0"/>
                    <w:pageBreakBefore w:val="0"/>
                    <w:widowControl w:val="0"/>
                    <w:kinsoku/>
                    <w:wordWrap w:val="0"/>
                    <w:overflowPunct/>
                    <w:topLinePunct w:val="0"/>
                    <w:autoSpaceDE w:val="0"/>
                    <w:autoSpaceDN w:val="0"/>
                    <w:bidi w:val="0"/>
                    <w:adjustRightInd w:val="0"/>
                    <w:snapToGrid/>
                    <w:spacing w:line="320" w:lineRule="exact"/>
                    <w:ind w:left="0" w:leftChars="0" w:right="0" w:rightChars="0"/>
                    <w:jc w:val="center"/>
                    <w:textAlignment w:val="auto"/>
                    <w:rPr>
                      <w:rFonts w:hint="default" w:ascii="Times New Roman" w:hAnsi="Times New Roman" w:eastAsia="宋体" w:cs="Times New Roman"/>
                      <w:color w:val="000000" w:themeColor="text1"/>
                      <w:kern w:val="0"/>
                      <w:sz w:val="21"/>
                      <w:szCs w:val="21"/>
                      <w:highlight w:val="none"/>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《工业企业厂界环境噪声排放标准》</w:t>
                  </w:r>
                </w:p>
                <w:p>
                  <w:pPr>
                    <w:keepNext w:val="0"/>
                    <w:keepLines w:val="0"/>
                    <w:pageBreakBefore w:val="0"/>
                    <w:widowControl w:val="0"/>
                    <w:kinsoku/>
                    <w:wordWrap w:val="0"/>
                    <w:overflowPunct/>
                    <w:topLinePunct w:val="0"/>
                    <w:autoSpaceDE/>
                    <w:autoSpaceDN/>
                    <w:bidi w:val="0"/>
                    <w:adjustRightInd w:val="0"/>
                    <w:snapToGrid w:val="0"/>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（GB12348-2008）</w:t>
                  </w:r>
                  <w:r>
                    <w:rPr>
                      <w:rFonts w:hint="default" w:ascii="Times New Roman" w:hAnsi="Times New Roman" w:eastAsia="宋体" w:cs="Times New Roman"/>
                      <w:color w:val="000000" w:themeColor="text1"/>
                      <w:kern w:val="0"/>
                      <w:sz w:val="21"/>
                      <w:szCs w:val="21"/>
                      <w:highlight w:val="none"/>
                      <w:lang w:val="en-US" w:eastAsia="zh-CN"/>
                      <w14:textFill>
                        <w14:solidFill>
                          <w14:schemeClr w14:val="tx1"/>
                        </w14:solidFill>
                      </w14:textFill>
                    </w:rPr>
                    <w:t>2</w:t>
                  </w:r>
                  <w:r>
                    <w:rPr>
                      <w:rFonts w:hint="default" w:ascii="Times New Roman" w:hAnsi="Times New Roman" w:eastAsia="宋体" w:cs="Times New Roman"/>
                      <w:color w:val="000000" w:themeColor="text1"/>
                      <w:kern w:val="0"/>
                      <w:sz w:val="21"/>
                      <w:szCs w:val="21"/>
                      <w:highlight w:val="none"/>
                      <w14:textFill>
                        <w14:solidFill>
                          <w14:schemeClr w14:val="tx1"/>
                        </w14:solidFill>
                      </w14:textFill>
                    </w:rPr>
                    <w:t>类标准</w:t>
                  </w:r>
                </w:p>
              </w:tc>
            </w:tr>
          </w:tbl>
          <w:p>
            <w:pPr>
              <w:keepNext w:val="0"/>
              <w:keepLines w:val="0"/>
              <w:pageBreakBefore w:val="0"/>
              <w:kinsoku/>
              <w:wordWrap w:val="0"/>
              <w:overflowPunct/>
              <w:topLinePunct w:val="0"/>
              <w:autoSpaceDE/>
              <w:autoSpaceDN/>
              <w:bidi w:val="0"/>
              <w:adjustRightInd/>
              <w:snapToGrid/>
              <w:spacing w:line="500" w:lineRule="exact"/>
              <w:textAlignment w:val="auto"/>
              <w:rPr>
                <w:rFonts w:ascii="Times New Roman" w:hAnsi="Times New Roman"/>
                <w:b/>
                <w:color w:val="000000" w:themeColor="text1"/>
                <w:sz w:val="24"/>
                <w:szCs w:val="20"/>
                <w14:textFill>
                  <w14:solidFill>
                    <w14:schemeClr w14:val="tx1"/>
                  </w14:solidFill>
                </w14:textFill>
              </w:rPr>
            </w:pPr>
            <w:r>
              <w:rPr>
                <w:rFonts w:ascii="Times New Roman" w:hAnsi="Times New Roman"/>
                <w:b/>
                <w:color w:val="000000" w:themeColor="text1"/>
                <w:sz w:val="24"/>
                <w:szCs w:val="20"/>
                <w14:textFill>
                  <w14:solidFill>
                    <w14:schemeClr w14:val="tx1"/>
                  </w14:solidFill>
                </w14:textFill>
              </w:rPr>
              <w:t>4.4</w:t>
            </w:r>
            <w:r>
              <w:rPr>
                <w:rFonts w:hint="eastAsia" w:ascii="Times New Roman" w:hAnsi="Times New Roman"/>
                <w:b/>
                <w:color w:val="000000" w:themeColor="text1"/>
                <w:sz w:val="24"/>
                <w:szCs w:val="20"/>
                <w:lang w:val="en-US" w:eastAsia="zh-CN"/>
                <w14:textFill>
                  <w14:solidFill>
                    <w14:schemeClr w14:val="tx1"/>
                  </w14:solidFill>
                </w14:textFill>
              </w:rPr>
              <w:t xml:space="preserve"> </w:t>
            </w:r>
            <w:r>
              <w:rPr>
                <w:rFonts w:hint="eastAsia" w:ascii="Times New Roman" w:hAnsi="Times New Roman"/>
                <w:b/>
                <w:color w:val="000000" w:themeColor="text1"/>
                <w:sz w:val="24"/>
                <w:szCs w:val="20"/>
                <w14:textFill>
                  <w14:solidFill>
                    <w14:schemeClr w14:val="tx1"/>
                  </w14:solidFill>
                </w14:textFill>
              </w:rPr>
              <w:t>固体废物</w:t>
            </w:r>
          </w:p>
          <w:p>
            <w:pPr>
              <w:keepNext w:val="0"/>
              <w:keepLines w:val="0"/>
              <w:pageBreakBefore w:val="0"/>
              <w:kinsoku/>
              <w:wordWrap w:val="0"/>
              <w:overflowPunct/>
              <w:topLinePunct w:val="0"/>
              <w:autoSpaceDE/>
              <w:autoSpaceDN/>
              <w:bidi w:val="0"/>
              <w:adjustRightInd/>
              <w:snapToGrid/>
              <w:spacing w:line="500" w:lineRule="exact"/>
              <w:textAlignment w:val="auto"/>
              <w:rPr>
                <w:rFonts w:hint="eastAsia" w:ascii="Times New Roman" w:hAnsi="Times New Roman"/>
                <w:b/>
                <w:bCs/>
                <w:color w:val="000000" w:themeColor="text1"/>
                <w:kern w:val="0"/>
                <w:sz w:val="24"/>
                <w:szCs w:val="20"/>
                <w:lang w:val="en-US" w:eastAsia="zh-CN"/>
                <w14:textFill>
                  <w14:solidFill>
                    <w14:schemeClr w14:val="tx1"/>
                  </w14:solidFill>
                </w14:textFill>
              </w:rPr>
            </w:pPr>
            <w:r>
              <w:rPr>
                <w:rFonts w:hint="eastAsia" w:ascii="Times New Roman" w:hAnsi="Times New Roman"/>
                <w:b/>
                <w:bCs/>
                <w:color w:val="000000" w:themeColor="text1"/>
                <w:kern w:val="0"/>
                <w:sz w:val="24"/>
                <w:szCs w:val="20"/>
                <w:lang w:val="en-US" w:eastAsia="zh-CN"/>
                <w14:textFill>
                  <w14:solidFill>
                    <w14:schemeClr w14:val="tx1"/>
                  </w14:solidFill>
                </w14:textFill>
              </w:rPr>
              <w:t>4.4.1 源强分析</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项目运营期产生的固废主要有生活垃圾，废含油抹布、劳保用品、废电解液、废吸收液、废催化剂、废活性炭等。</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）生活垃圾</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生活垃圾的产生量按0.5kg人/d计，本项目劳动定员30人，则日产量15kg/d，企业年运行360d，则生活垃圾年产生量为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5.4</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）废含油抹布、劳保用品</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项目员工日常穿着的工作服、帽子、手套、口罩等劳保品和使用的抹布平均每月更换一次，则废含油抹布、劳保用品产生量约</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）废电解液</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u w:val="single"/>
                <w14:textFill>
                  <w14:solidFill>
                    <w14:schemeClr w14:val="tx1"/>
                  </w14:solidFill>
                </w14:textFill>
              </w:rPr>
            </w:pP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项目年回收废旧铅酸蓄电池</w:t>
            </w:r>
            <w:r>
              <w:rPr>
                <w:rFonts w:hint="eastAsia"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48</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000t</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，破损废旧铅酸蓄电池约占总量的</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0.1%</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，即</w:t>
            </w:r>
            <w:r>
              <w:rPr>
                <w:rFonts w:hint="eastAsia"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48</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，破损铅酸蓄电池中电解液含量</w:t>
            </w:r>
            <w:r>
              <w:rPr>
                <w:rFonts w:hint="eastAsia" w:cs="宋体"/>
                <w:color w:val="000000" w:themeColor="text1"/>
                <w:kern w:val="0"/>
                <w:sz w:val="24"/>
                <w:szCs w:val="24"/>
                <w:u w:val="single"/>
                <w:lang w:val="en-US" w:eastAsia="zh-CN" w:bidi="ar"/>
                <w14:textFill>
                  <w14:solidFill>
                    <w14:schemeClr w14:val="tx1"/>
                  </w14:solidFill>
                </w14:textFill>
              </w:rPr>
              <w:t>按</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7%</w:t>
            </w:r>
            <w:r>
              <w:rPr>
                <w:rFonts w:hint="eastAsia" w:cs="Times New Roman"/>
                <w:color w:val="000000" w:themeColor="text1"/>
                <w:kern w:val="0"/>
                <w:sz w:val="24"/>
                <w:szCs w:val="24"/>
                <w:u w:val="single"/>
                <w:lang w:val="en-US" w:eastAsia="zh-CN" w:bidi="ar"/>
                <w14:textFill>
                  <w14:solidFill>
                    <w14:schemeClr w14:val="tx1"/>
                  </w14:solidFill>
                </w14:textFill>
              </w:rPr>
              <w:t>计</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，则废电解液产生量为</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3.36t/a</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4</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）废吸收液</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硫酸雾废气治理措施采取碱液喷淋处理后通过</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15m</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高排气筒排放，设备内部有循环水设施，并做了防腐处理，循环水箱容积</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，循环水储量</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0.9m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，每年更换一次，喷淋废液产生量为</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0.9t/a</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5</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）废活性炭</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项目废气净化用活性炭需定期更换，</w:t>
            </w:r>
            <w:r>
              <w:rPr>
                <w:rFonts w:hint="default" w:ascii="Times New Roman" w:hAnsi="Times New Roman" w:eastAsia="宋体" w:cs="Times New Roman"/>
                <w:color w:val="000000" w:themeColor="text1"/>
                <w:sz w:val="24"/>
                <w:szCs w:val="24"/>
                <w14:textFill>
                  <w14:solidFill>
                    <w14:schemeClr w14:val="tx1"/>
                  </w14:solidFill>
                </w14:textFill>
              </w:rPr>
              <w:t>活性炭吸附箱内一次装填量为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100</w:t>
            </w:r>
            <w:r>
              <w:rPr>
                <w:rFonts w:hint="default" w:ascii="Times New Roman" w:hAnsi="Times New Roman" w:eastAsia="宋体" w:cs="Times New Roman"/>
                <w:color w:val="000000" w:themeColor="text1"/>
                <w:sz w:val="24"/>
                <w:szCs w:val="24"/>
                <w14:textFill>
                  <w14:solidFill>
                    <w14:schemeClr w14:val="tx1"/>
                  </w14:solidFill>
                </w14:textFill>
              </w:rPr>
              <w:t>kg</w:t>
            </w:r>
            <w:r>
              <w:rPr>
                <w:rFonts w:hint="default" w:ascii="Times New Roman" w:hAnsi="Times New Roman" w:eastAsia="宋体" w:cs="Times New Roman"/>
                <w:color w:val="000000" w:themeColor="text1"/>
                <w:sz w:val="24"/>
                <w:szCs w:val="24"/>
                <w:lang w:eastAsia="zh-CN"/>
                <w14:textFill>
                  <w14:solidFill>
                    <w14:schemeClr w14:val="tx1"/>
                  </w14:solidFill>
                </w14:textFill>
              </w:rPr>
              <w:t>，</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活性炭吸附能力为0.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t/t活性炭，项目非甲烷总烃吸附量约为0.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03</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t/a，活性炭需</w:t>
            </w:r>
            <w:r>
              <w:rPr>
                <w:rFonts w:hint="default" w:ascii="Times New Roman" w:hAnsi="Times New Roman" w:eastAsia="宋体" w:cs="Times New Roman"/>
                <w:color w:val="000000" w:themeColor="text1"/>
                <w:sz w:val="24"/>
                <w:szCs w:val="24"/>
                <w14:textFill>
                  <w14:solidFill>
                    <w14:schemeClr w14:val="tx1"/>
                  </w14:solidFill>
                </w14:textFill>
              </w:rPr>
              <w:t>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半年</w:t>
            </w:r>
            <w:r>
              <w:rPr>
                <w:rFonts w:hint="default" w:ascii="Times New Roman" w:hAnsi="Times New Roman" w:eastAsia="宋体" w:cs="Times New Roman"/>
                <w:color w:val="000000" w:themeColor="text1"/>
                <w:sz w:val="24"/>
                <w:szCs w:val="24"/>
                <w14:textFill>
                  <w14:solidFill>
                    <w14:schemeClr w14:val="tx1"/>
                  </w14:solidFill>
                </w14:textFill>
              </w:rPr>
              <w:t>更换一次，废活性炭的产生量为</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0.</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2</w:t>
            </w:r>
            <w:r>
              <w:rPr>
                <w:rFonts w:hint="default" w:ascii="Times New Roman" w:hAnsi="Times New Roman" w:eastAsia="宋体" w:cs="Times New Roman"/>
                <w:color w:val="000000" w:themeColor="text1"/>
                <w:sz w:val="24"/>
                <w:szCs w:val="24"/>
                <w14:textFill>
                  <w14:solidFill>
                    <w14:schemeClr w14:val="tx1"/>
                  </w14:solidFill>
                </w14:textFill>
              </w:rPr>
              <w:t>t/a</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6</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催化剂</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催化燃烧是利用贵金属催化剂降低废气中有机物的活化能，使有机物在较低的温度(一般在250～300℃左右，不同成分的有机物，其催化燃烧温度不一样)下发生无火焰燃烧。其原理是废气经过催化剂时，先被吸附至催化剂表面，然后在一定的温度下发生催化燃烧，达到净化的目的。目前有机废气处理中常用的催化一般为蜂窝状钯金属催化剂和铂金属催化剂。催化剂使用一段时间后处理效果会降低，需定期更换。本项目</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催化剂</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每3年更换</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次，有机废气处理装置风机风量为</w:t>
            </w:r>
            <w:r>
              <w:rPr>
                <w:rFonts w:hint="eastAsia" w:cs="Times New Roman"/>
                <w:color w:val="000000" w:themeColor="text1"/>
                <w:kern w:val="0"/>
                <w:sz w:val="24"/>
                <w:szCs w:val="24"/>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000m</w:t>
            </w:r>
            <w:r>
              <w:rPr>
                <w:rFonts w:hint="eastAsia"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，根据环保设备设计参数，有机废气处理装置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10000m</w:t>
            </w:r>
            <w:r>
              <w:rPr>
                <w:rFonts w:hint="default" w:ascii="Times New Roman" w:hAnsi="Times New Roman" w:eastAsia="宋体" w:cs="Times New Roman"/>
                <w:color w:val="000000" w:themeColor="text1"/>
                <w:kern w:val="0"/>
                <w:sz w:val="24"/>
                <w:szCs w:val="24"/>
                <w:vertAlign w:val="super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/h风量应填装1立方米催化剂</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w:t>
            </w:r>
            <w:r>
              <w:rPr>
                <w:rFonts w:hint="eastAsia" w:cs="宋体"/>
                <w:color w:val="000000" w:themeColor="text1"/>
                <w:kern w:val="0"/>
                <w:sz w:val="24"/>
                <w:szCs w:val="24"/>
                <w:u w:val="single"/>
                <w:lang w:val="en-US" w:eastAsia="zh-CN" w:bidi="ar"/>
                <w14:textFill>
                  <w14:solidFill>
                    <w14:schemeClr w14:val="tx1"/>
                  </w14:solidFill>
                </w14:textFill>
              </w:rPr>
              <w:t>催化剂最大密度约0.5g/cm³，则本项目</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废催化剂</w:t>
            </w:r>
            <w:r>
              <w:rPr>
                <w:rFonts w:hint="eastAsia" w:cs="宋体"/>
                <w:color w:val="000000" w:themeColor="text1"/>
                <w:kern w:val="0"/>
                <w:sz w:val="24"/>
                <w:szCs w:val="24"/>
                <w:u w:val="single"/>
                <w:lang w:val="en-US" w:eastAsia="zh-CN" w:bidi="ar"/>
                <w14:textFill>
                  <w14:solidFill>
                    <w14:schemeClr w14:val="tx1"/>
                  </w14:solidFill>
                </w14:textFill>
              </w:rPr>
              <w:t>每次更换量为0.1t，</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产生量为</w:t>
            </w:r>
            <w:r>
              <w:rPr>
                <w:rFonts w:hint="eastAsia" w:cs="Times New Roman"/>
                <w:color w:val="000000" w:themeColor="text1"/>
                <w:kern w:val="0"/>
                <w:sz w:val="24"/>
                <w:szCs w:val="24"/>
                <w:u w:val="single"/>
                <w:lang w:val="en-US" w:eastAsia="zh-CN" w:bidi="ar"/>
                <w14:textFill>
                  <w14:solidFill>
                    <w14:schemeClr w14:val="tx1"/>
                  </w14:solidFill>
                </w14:textFill>
              </w:rPr>
              <w:t>0.03</w:t>
            </w:r>
            <w:r>
              <w:rPr>
                <w:rFonts w:hint="default" w:ascii="Times New Roman" w:hAnsi="Times New Roman" w:eastAsia="宋体" w:cs="Times New Roman"/>
                <w:color w:val="000000" w:themeColor="text1"/>
                <w:kern w:val="0"/>
                <w:sz w:val="24"/>
                <w:szCs w:val="24"/>
                <w:u w:val="single"/>
                <w:lang w:val="en-US" w:eastAsia="zh-CN" w:bidi="ar"/>
                <w14:textFill>
                  <w14:solidFill>
                    <w14:schemeClr w14:val="tx1"/>
                  </w14:solidFill>
                </w14:textFill>
              </w:rPr>
              <w:t>t/a</w:t>
            </w:r>
            <w:r>
              <w:rPr>
                <w:rFonts w:hint="eastAsia" w:ascii="Times New Roman" w:hAnsi="Times New Roman" w:eastAsia="宋体" w:cs="宋体"/>
                <w:color w:val="000000" w:themeColor="text1"/>
                <w:kern w:val="0"/>
                <w:sz w:val="24"/>
                <w:szCs w:val="24"/>
                <w:u w:val="single"/>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4.4.2 影响及措施分析</w:t>
            </w:r>
          </w:p>
          <w:p>
            <w:pPr>
              <w:keepNext w:val="0"/>
              <w:keepLines w:val="0"/>
              <w:pageBreakBefore w:val="0"/>
              <w:widowControl/>
              <w:suppressLineNumbers w:val="0"/>
              <w:kinsoku/>
              <w:wordWrap w:val="0"/>
              <w:overflowPunct/>
              <w:topLinePunct w:val="0"/>
              <w:autoSpaceDE/>
              <w:autoSpaceDN/>
              <w:bidi w:val="0"/>
              <w:adjustRightInd w:val="0"/>
              <w:snapToGrid/>
              <w:spacing w:line="500" w:lineRule="exact"/>
              <w:ind w:firstLine="480" w:firstLineChars="200"/>
              <w:jc w:val="both"/>
              <w:textAlignment w:val="auto"/>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4"/>
                <w:szCs w:val="24"/>
                <w:lang w:val="en-US" w:eastAsia="zh-CN" w:bidi="ar"/>
                <w14:textFill>
                  <w14:solidFill>
                    <w14:schemeClr w14:val="tx1"/>
                  </w14:solidFill>
                </w14:textFill>
              </w:rPr>
              <w:t>项目固体废物产生及处置情况见下表。</w:t>
            </w:r>
          </w:p>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p>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表4-10  项目固体废物产生及处置一览表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34"/>
              <w:gridCol w:w="1035"/>
              <w:gridCol w:w="1050"/>
              <w:gridCol w:w="885"/>
              <w:gridCol w:w="1021"/>
              <w:gridCol w:w="869"/>
              <w:gridCol w:w="1065"/>
              <w:gridCol w:w="1582"/>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序号</w:t>
                  </w:r>
                </w:p>
              </w:tc>
              <w:tc>
                <w:tcPr>
                  <w:tcW w:w="103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固体废物名称</w:t>
                  </w:r>
                </w:p>
              </w:tc>
              <w:tc>
                <w:tcPr>
                  <w:tcW w:w="105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产生环节</w:t>
                  </w:r>
                </w:p>
              </w:tc>
              <w:tc>
                <w:tcPr>
                  <w:tcW w:w="88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产生量（t/a）</w:t>
                  </w:r>
                </w:p>
              </w:tc>
              <w:tc>
                <w:tcPr>
                  <w:tcW w:w="102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形态</w:t>
                  </w:r>
                </w:p>
              </w:tc>
              <w:tc>
                <w:tcPr>
                  <w:tcW w:w="869"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固废属性</w:t>
                  </w:r>
                </w:p>
              </w:tc>
              <w:tc>
                <w:tcPr>
                  <w:tcW w:w="106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废物类别及代码</w:t>
                  </w:r>
                </w:p>
              </w:tc>
              <w:tc>
                <w:tcPr>
                  <w:tcW w:w="1582"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处置措施</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1</w:t>
                  </w:r>
                </w:p>
              </w:tc>
              <w:tc>
                <w:tcPr>
                  <w:tcW w:w="103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生活垃圾</w:t>
                  </w:r>
                </w:p>
              </w:tc>
              <w:tc>
                <w:tcPr>
                  <w:tcW w:w="105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职工办公</w:t>
                  </w:r>
                </w:p>
              </w:tc>
              <w:tc>
                <w:tcPr>
                  <w:tcW w:w="88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5.4</w:t>
                  </w:r>
                </w:p>
              </w:tc>
              <w:tc>
                <w:tcPr>
                  <w:tcW w:w="102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固</w:t>
                  </w:r>
                </w:p>
              </w:tc>
              <w:tc>
                <w:tcPr>
                  <w:tcW w:w="869"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一般固废</w:t>
                  </w:r>
                </w:p>
              </w:tc>
              <w:tc>
                <w:tcPr>
                  <w:tcW w:w="106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w:t>
                  </w:r>
                </w:p>
              </w:tc>
              <w:tc>
                <w:tcPr>
                  <w:tcW w:w="1582"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交由环卫部门清运</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2</w:t>
                  </w:r>
                </w:p>
              </w:tc>
              <w:tc>
                <w:tcPr>
                  <w:tcW w:w="103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废含油抹布、劳保用品</w:t>
                  </w:r>
                </w:p>
              </w:tc>
              <w:tc>
                <w:tcPr>
                  <w:tcW w:w="105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职工办公</w:t>
                  </w:r>
                </w:p>
              </w:tc>
              <w:tc>
                <w:tcPr>
                  <w:tcW w:w="88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1</w:t>
                  </w:r>
                </w:p>
              </w:tc>
              <w:tc>
                <w:tcPr>
                  <w:tcW w:w="102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固</w:t>
                  </w:r>
                </w:p>
              </w:tc>
              <w:tc>
                <w:tcPr>
                  <w:tcW w:w="869" w:type="dxa"/>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危险废物</w:t>
                  </w:r>
                </w:p>
              </w:tc>
              <w:tc>
                <w:tcPr>
                  <w:tcW w:w="106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HW49</w:t>
                  </w:r>
                </w:p>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900-041-49</w:t>
                  </w:r>
                </w:p>
              </w:tc>
              <w:tc>
                <w:tcPr>
                  <w:tcW w:w="1582" w:type="dxa"/>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暂存于危险废物暂存间，定期交由有资质单位进行处置</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99" w:hRule="atLeast"/>
              </w:trPr>
              <w:tc>
                <w:tcPr>
                  <w:tcW w:w="43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3</w:t>
                  </w:r>
                </w:p>
              </w:tc>
              <w:tc>
                <w:tcPr>
                  <w:tcW w:w="103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废电解液</w:t>
                  </w:r>
                </w:p>
              </w:tc>
              <w:tc>
                <w:tcPr>
                  <w:tcW w:w="105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破损电池贮存</w:t>
                  </w:r>
                </w:p>
              </w:tc>
              <w:tc>
                <w:tcPr>
                  <w:tcW w:w="88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3.36</w:t>
                  </w:r>
                </w:p>
              </w:tc>
              <w:tc>
                <w:tcPr>
                  <w:tcW w:w="102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液</w:t>
                  </w:r>
                </w:p>
              </w:tc>
              <w:tc>
                <w:tcPr>
                  <w:tcW w:w="869"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c>
                <w:tcPr>
                  <w:tcW w:w="106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HW31</w:t>
                  </w:r>
                </w:p>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900-025-31</w:t>
                  </w:r>
                </w:p>
              </w:tc>
              <w:tc>
                <w:tcPr>
                  <w:tcW w:w="1582"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4</w:t>
                  </w:r>
                </w:p>
              </w:tc>
              <w:tc>
                <w:tcPr>
                  <w:tcW w:w="103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碱喷淋废液</w:t>
                  </w:r>
                </w:p>
              </w:tc>
              <w:tc>
                <w:tcPr>
                  <w:tcW w:w="105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酸雾废气治理</w:t>
                  </w:r>
                </w:p>
              </w:tc>
              <w:tc>
                <w:tcPr>
                  <w:tcW w:w="88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0.9</w:t>
                  </w:r>
                </w:p>
              </w:tc>
              <w:tc>
                <w:tcPr>
                  <w:tcW w:w="102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液</w:t>
                  </w:r>
                </w:p>
              </w:tc>
              <w:tc>
                <w:tcPr>
                  <w:tcW w:w="869"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c>
                <w:tcPr>
                  <w:tcW w:w="106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HW35</w:t>
                  </w:r>
                </w:p>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900-399-35</w:t>
                  </w:r>
                </w:p>
              </w:tc>
              <w:tc>
                <w:tcPr>
                  <w:tcW w:w="1582"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5</w:t>
                  </w:r>
                </w:p>
              </w:tc>
              <w:tc>
                <w:tcPr>
                  <w:tcW w:w="103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u w:val="single"/>
                      <w:vertAlign w:val="baseline"/>
                      <w:lang w:val="en-US" w:eastAsia="zh-CN" w:bidi="ar"/>
                      <w14:textFill>
                        <w14:solidFill>
                          <w14:schemeClr w14:val="tx1"/>
                        </w14:solidFill>
                      </w14:textFill>
                    </w:rPr>
                    <w:t>废催化剂</w:t>
                  </w:r>
                </w:p>
              </w:tc>
              <w:tc>
                <w:tcPr>
                  <w:tcW w:w="1050" w:type="dxa"/>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有机废气治理</w:t>
                  </w:r>
                </w:p>
              </w:tc>
              <w:tc>
                <w:tcPr>
                  <w:tcW w:w="88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cs="Times New Roman"/>
                      <w:b w:val="0"/>
                      <w:bCs w:val="0"/>
                      <w:color w:val="000000" w:themeColor="text1"/>
                      <w:kern w:val="0"/>
                      <w:sz w:val="18"/>
                      <w:szCs w:val="18"/>
                      <w:u w:val="single"/>
                      <w:vertAlign w:val="baseline"/>
                      <w:lang w:val="en-US" w:eastAsia="zh-CN" w:bidi="ar"/>
                      <w14:textFill>
                        <w14:solidFill>
                          <w14:schemeClr w14:val="tx1"/>
                        </w14:solidFill>
                      </w14:textFill>
                    </w:rPr>
                    <w:t>0.03</w:t>
                  </w:r>
                </w:p>
              </w:tc>
              <w:tc>
                <w:tcPr>
                  <w:tcW w:w="102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固</w:t>
                  </w:r>
                </w:p>
              </w:tc>
              <w:tc>
                <w:tcPr>
                  <w:tcW w:w="869"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c>
                <w:tcPr>
                  <w:tcW w:w="106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HW49</w:t>
                  </w:r>
                </w:p>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900-041-49</w:t>
                  </w:r>
                </w:p>
              </w:tc>
              <w:tc>
                <w:tcPr>
                  <w:tcW w:w="1582"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3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6</w:t>
                  </w:r>
                </w:p>
              </w:tc>
              <w:tc>
                <w:tcPr>
                  <w:tcW w:w="103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废活性炭</w:t>
                  </w:r>
                </w:p>
              </w:tc>
              <w:tc>
                <w:tcPr>
                  <w:tcW w:w="1050"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c>
                <w:tcPr>
                  <w:tcW w:w="88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0.2</w:t>
                  </w:r>
                </w:p>
              </w:tc>
              <w:tc>
                <w:tcPr>
                  <w:tcW w:w="102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固</w:t>
                  </w:r>
                </w:p>
              </w:tc>
              <w:tc>
                <w:tcPr>
                  <w:tcW w:w="869"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c>
                <w:tcPr>
                  <w:tcW w:w="1065"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HW49</w:t>
                  </w:r>
                </w:p>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t>900-041-49</w:t>
                  </w:r>
                </w:p>
              </w:tc>
              <w:tc>
                <w:tcPr>
                  <w:tcW w:w="1582"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val="0"/>
                    <w:snapToGrid/>
                    <w:spacing w:line="240" w:lineRule="auto"/>
                    <w:jc w:val="center"/>
                    <w:textAlignment w:val="auto"/>
                    <w:rPr>
                      <w:rFonts w:hint="default" w:ascii="Times New Roman" w:hAnsi="Times New Roman" w:eastAsia="宋体" w:cs="Times New Roman"/>
                      <w:b w:val="0"/>
                      <w:bCs w:val="0"/>
                      <w:color w:val="000000" w:themeColor="text1"/>
                      <w:kern w:val="0"/>
                      <w:sz w:val="18"/>
                      <w:szCs w:val="18"/>
                      <w:vertAlign w:val="baseline"/>
                      <w:lang w:val="en-US" w:eastAsia="zh-CN" w:bidi="ar"/>
                      <w14:textFill>
                        <w14:solidFill>
                          <w14:schemeClr w14:val="tx1"/>
                        </w14:solidFill>
                      </w14:textFill>
                    </w:rPr>
                  </w:pP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除上述自产危废需要暂存</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外</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，本身也属于危废储存项目。企业将严格按照《危险废物贮存污染控制标准》（</w:t>
            </w:r>
            <w:r>
              <w:rPr>
                <w:rFonts w:hint="default" w:ascii="Times New Roman" w:hAnsi="Times New Roman" w:eastAsia="微软雅黑" w:cs="Times New Roman"/>
                <w:i w:val="0"/>
                <w:iCs w:val="0"/>
                <w:caps w:val="0"/>
                <w:color w:val="000000" w:themeColor="text1"/>
                <w:spacing w:val="0"/>
                <w:sz w:val="24"/>
                <w:szCs w:val="24"/>
                <w:shd w:val="clear" w:color="auto" w:fill="FFFFFF"/>
                <w14:textFill>
                  <w14:solidFill>
                    <w14:schemeClr w14:val="tx1"/>
                  </w14:solidFill>
                </w14:textFill>
              </w:rPr>
              <w:t>GB18597-2023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）要求建设标准化</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“四防”</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危废暂存间和整体仓库，同时进行规范化建设和管理，具体措施如下：</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①建立责任制度，落实管理人员</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单位应明确一名负责人主管危险废物工作，配备专人负责危险废物管理具体工作，单位内部必须责任清晰；负责人应当熟悉危险废物管理相关法规、制度、标准、规范。</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②设置规范的警示标志、标识、标牌</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在收集、贮存、运输、利用、处置危险废物的设施、场所，应当按照《环境保护图形标志、固体废物贮存（处置）场》（GB15562.2-1995）、《危险废物贮存污染控制标准》（</w:t>
            </w:r>
            <w:r>
              <w:rPr>
                <w:rFonts w:hint="default" w:ascii="Times New Roman" w:hAnsi="Times New Roman" w:cs="Times New Roman"/>
                <w:b w:val="0"/>
                <w:bCs/>
                <w:color w:val="000000" w:themeColor="text1"/>
                <w:sz w:val="24"/>
                <w:szCs w:val="20"/>
                <w:lang w:val="en-US" w:eastAsia="zh-CN"/>
                <w14:textFill>
                  <w14:solidFill>
                    <w14:schemeClr w14:val="tx1"/>
                  </w14:solidFill>
                </w14:textFill>
              </w:rPr>
              <w:t>GB18597-2023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）、设置规范（形状、颜色、图案均正确，内容填写完整）。</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③每年度制定危险废物管理计划</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每年12月份制定下一年度的危险废物管理计划，要求内容齐全，危险废物的产生环节、种类、危害特性、产生量、利用处置方式描述清晰，并报当地环保部门进行备案。年度内危险废物产生量、产生种类等发生重大改变的应在发生变化一个月内重新制定管理计划。</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④如实进行申报登记</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每年1月份在全国固体废物申报登记系统中如实申报上一年度危险废物的种类、产生量、贮存、处置等有关情况，并将纸质版年度报表报当地环保部门备案。</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⑤做好分类暂存、贮存</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按照《危险废物贮存污染控制标准》（GB18597-20</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23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要求，合理、安全贮存危险废物。项目危险废物暂存间应当有防风、防雨、防晒、防渗漏等措施，必须有耐腐蚀的硬化地面，且表面无裂隙。生产车间应当有出入库记录，注明危险废物的名称、来源、数量、特性、入库日期、存放库位、废物出库日期等信息。</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⑥严格执行转移联单制度</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关于印发危险废物转移联单和危险废物跨省转移申请表样式的通知》（环办固体函〔2021〕577号），企业应当严格执行该通知，如实及时填报《危险废物转移联单》，未使用的转移联单由产生单位在报送已使用转移联单第二联副联时一并报送发放转移联单的环保部门存档。未及时报送转移联单的将不予发放下一批次转移联单。</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按照实际转移的危险废物，如实填写危险废物转移联单，联单不得有任何涂改。近五年内危险废物转移联单要保存齐全，数据与申报登记等材料数据一致。</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⑦委托合法的单位</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运输、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处置危险废物</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项目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危废</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运输</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当由具有相应危险废物</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运输资质的单位承担，危险废物处置当交由具备相应危险废物处置</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资质的单位。</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⑧制定应急预案并定期进行应急演练</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本次工程建成后应当制定意外事故应急预案，配备必要防范设施、设备。应急预案有明确的管理机构及负责人、有意外事故的情形及相应的处理措施、有应急预案中要求配置的应急装备及物资。内部及外部环境发生改变时，及时对应急预案进行了修订。应急预案在当地环保部门进行备案。按照预案要求每年组织应急演练，演练要求有详细的演练计划；有演练的图片、文字或视频记录；有演练后的总结材料；参加演练人员熟悉应急防范措施。</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⑨定期开展业务培训</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定期对工作人员进行培训，相应工作人员应掌握国家相关法律法规、规章和有关规范性文件的规定；熟悉本单位制定的危险废物管理规章制度、工作流程和应急预案等各项要求；掌握危险废物分类收集、暂存的正确方法和操作程序。</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⑩完善档案资料，及时上报企业情况</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涉危废企业应按危险废物规范化管理目录制作档案材料。档案材料制作应统一封面，分类装订，整洁、简明，便于查阅。</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采取以上措施后，项目固体废物能够得到合理处置，不会对项目区外环境产生明显影响</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Lines w:val="0"/>
              <w:pageBreakBefore w:val="0"/>
              <w:kinsoku/>
              <w:wordWrap w:val="0"/>
              <w:topLinePunct w:val="0"/>
              <w:bidi w:val="0"/>
              <w:spacing w:line="520" w:lineRule="exact"/>
              <w:rPr>
                <w:rFonts w:hint="default" w:ascii="Times New Roman" w:hAnsi="Times New Roman" w:eastAsia="宋体"/>
                <w:b/>
                <w:color w:val="000000" w:themeColor="text1"/>
                <w:sz w:val="24"/>
                <w:szCs w:val="20"/>
                <w:lang w:val="en-US" w:eastAsia="zh-CN"/>
                <w14:textFill>
                  <w14:solidFill>
                    <w14:schemeClr w14:val="tx1"/>
                  </w14:solidFill>
                </w14:textFill>
              </w:rPr>
            </w:pPr>
            <w:r>
              <w:rPr>
                <w:rFonts w:ascii="Times New Roman" w:hAnsi="Times New Roman"/>
                <w:b/>
                <w:color w:val="000000" w:themeColor="text1"/>
                <w:sz w:val="24"/>
                <w:szCs w:val="20"/>
                <w14:textFill>
                  <w14:solidFill>
                    <w14:schemeClr w14:val="tx1"/>
                  </w14:solidFill>
                </w14:textFill>
              </w:rPr>
              <w:t>4.5</w:t>
            </w:r>
            <w:r>
              <w:rPr>
                <w:rFonts w:hint="eastAsia" w:ascii="Times New Roman" w:hAnsi="Times New Roman"/>
                <w:b/>
                <w:color w:val="000000" w:themeColor="text1"/>
                <w:sz w:val="24"/>
                <w:szCs w:val="20"/>
                <w:lang w:val="en-US" w:eastAsia="zh-CN"/>
                <w14:textFill>
                  <w14:solidFill>
                    <w14:schemeClr w14:val="tx1"/>
                  </w14:solidFill>
                </w14:textFill>
              </w:rPr>
              <w:t xml:space="preserve"> </w:t>
            </w:r>
            <w:r>
              <w:rPr>
                <w:rFonts w:hint="eastAsia" w:ascii="Times New Roman" w:hAnsi="Times New Roman"/>
                <w:b/>
                <w:color w:val="000000" w:themeColor="text1"/>
                <w:sz w:val="24"/>
                <w:szCs w:val="20"/>
                <w14:textFill>
                  <w14:solidFill>
                    <w14:schemeClr w14:val="tx1"/>
                  </w14:solidFill>
                </w14:textFill>
              </w:rPr>
              <w:t>地下水</w:t>
            </w:r>
            <w:r>
              <w:rPr>
                <w:rFonts w:hint="eastAsia" w:ascii="Times New Roman" w:hAnsi="Times New Roman"/>
                <w:b/>
                <w:color w:val="000000" w:themeColor="text1"/>
                <w:sz w:val="24"/>
                <w:szCs w:val="20"/>
                <w:lang w:eastAsia="zh-CN"/>
                <w14:textFill>
                  <w14:solidFill>
                    <w14:schemeClr w14:val="tx1"/>
                  </w14:solidFill>
                </w14:textFill>
              </w:rPr>
              <w:t>、</w:t>
            </w:r>
            <w:r>
              <w:rPr>
                <w:rFonts w:hint="eastAsia" w:ascii="Times New Roman" w:hAnsi="Times New Roman"/>
                <w:b/>
                <w:color w:val="000000" w:themeColor="text1"/>
                <w:sz w:val="24"/>
                <w:szCs w:val="20"/>
                <w:lang w:val="en-US" w:eastAsia="zh-CN"/>
                <w14:textFill>
                  <w14:solidFill>
                    <w14:schemeClr w14:val="tx1"/>
                  </w14:solidFill>
                </w14:textFill>
              </w:rPr>
              <w:t>土壤</w:t>
            </w:r>
          </w:p>
          <w:p>
            <w:pPr>
              <w:keepLines w:val="0"/>
              <w:pageBreakBefore w:val="0"/>
              <w:kinsoku/>
              <w:wordWrap w:val="0"/>
              <w:topLinePunct w:val="0"/>
              <w:bidi w:val="0"/>
              <w:spacing w:line="520" w:lineRule="exact"/>
              <w:rPr>
                <w:rFonts w:hint="default" w:ascii="Times New Roman" w:hAnsi="Times New Roman" w:eastAsia="黑体"/>
                <w:b/>
                <w:bCs/>
                <w:color w:val="000000" w:themeColor="text1"/>
                <w:sz w:val="24"/>
                <w:lang w:val="en-US"/>
                <w14:textFill>
                  <w14:solidFill>
                    <w14:schemeClr w14:val="tx1"/>
                  </w14:solidFill>
                </w14:textFill>
              </w:rPr>
            </w:pPr>
            <w:r>
              <w:rPr>
                <w:rFonts w:ascii="Times New Roman" w:hAnsi="Times New Roman" w:eastAsia="黑体"/>
                <w:b/>
                <w:bCs/>
                <w:color w:val="000000" w:themeColor="text1"/>
                <w:sz w:val="24"/>
                <w14:textFill>
                  <w14:solidFill>
                    <w14:schemeClr w14:val="tx1"/>
                  </w14:solidFill>
                </w14:textFill>
              </w:rPr>
              <w:t>4.5.1</w:t>
            </w:r>
            <w:r>
              <w:rPr>
                <w:rFonts w:hint="eastAsia" w:ascii="Times New Roman" w:hAnsi="Times New Roman" w:eastAsia="黑体"/>
                <w:b/>
                <w:bCs/>
                <w:color w:val="000000" w:themeColor="text1"/>
                <w:sz w:val="24"/>
                <w:lang w:val="en-US" w:eastAsia="zh-CN"/>
                <w14:textFill>
                  <w14:solidFill>
                    <w14:schemeClr w14:val="tx1"/>
                  </w14:solidFill>
                </w14:textFill>
              </w:rPr>
              <w:t xml:space="preserve"> </w:t>
            </w:r>
            <w:r>
              <w:rPr>
                <w:rFonts w:hint="eastAsia" w:ascii="Times New Roman" w:hAnsi="Times New Roman" w:eastAsia="宋体" w:cs="宋体"/>
                <w:b/>
                <w:bCs/>
                <w:color w:val="000000" w:themeColor="text1"/>
                <w:sz w:val="24"/>
                <w:lang w:val="en-US" w:eastAsia="zh-CN"/>
                <w14:textFill>
                  <w14:solidFill>
                    <w14:schemeClr w14:val="tx1"/>
                  </w14:solidFill>
                </w14:textFill>
              </w:rPr>
              <w:t>污染途径</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color w:val="000000" w:themeColor="text1"/>
                <w:kern w:val="0"/>
                <w:sz w:val="24"/>
                <w:szCs w:val="20"/>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对地下水的影响主要是泄漏的污染物经过漫流和降水通过垂向渗透进入包气带的污染物在物理、化学和生物作用下经吸附、转化、迁移和分解后进入地下水。因此，包气带是连接地面污染物与地下含水层的主要通道和过渡带，既是污染物媒介体，又是污染物的净化场所和防护层。一般来说，土壤颗粒细而紧密，渗透</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性差，则污染轻；反之，颗粒大而松散，渗透性能良好，则污染重</w:t>
            </w:r>
            <w:r>
              <w:rPr>
                <w:rFonts w:hint="eastAsia" w:ascii="Times New Roman" w:hAnsi="Times New Roman"/>
                <w:color w:val="000000" w:themeColor="text1"/>
                <w:kern w:val="0"/>
                <w:sz w:val="24"/>
                <w:szCs w:val="20"/>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eastAsia" w:ascii="Times New Roman" w:hAnsi="Times New Roman"/>
                <w:color w:val="000000" w:themeColor="text1"/>
                <w:kern w:val="0"/>
                <w:sz w:val="24"/>
                <w:szCs w:val="20"/>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对土壤的污染主要是泄漏的污染物通过地面漫游、垂直入渗进入土壤造成土壤污染。拟建项目车间内部均进行防腐防渗处理，车间内部发生泄露均能得到控制；无垂直入渗的可能。建设单位拟在厂房内设置导流沟以及收集井、事故池，若发生外溢现象，可以及时拦截，不存在地面漫流污染途径。</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sz w:val="24"/>
                <w:szCs w:val="24"/>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正常状况下，</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危险废物分类储存，且储存区域及裙脚均采取防渗措施，同时液态、半固态危险废物暂存区设导流沟</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事故池</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等防流失措施，工程建设满足《危险废物贮存污染控制标准》(GB18597-20</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23</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)，因此在正常情况下工程建设不会造成地下水</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土壤</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环境的污染</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t>非正常状况下，</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若是在固态和半固态固体废物因包装袋或包装桶破裂导致危险废物泄漏至地面，通过清扫可有效收集，然后通过桶进行收集，作为危险废物进行处置，且地面有防渗措施，可有效降低污染物渗漏对</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地下水、土壤</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环境的影响；液态污染物因包装桶破裂导致危险废物发生泄漏至地面，通过导流沟</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事故池等</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对废液进行收集，对场地进行沙土覆盖后并进行清扫收集，然后通过桶进行收集，作为危险废物进行处置，且地面有防渗措施，可有效降低污染物渗漏对</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地下水、土壤</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环境的影响。若是危险废物贮存容器和储存设施基础防渗层同时发生事故，则污染物缓慢渗漏进入包气带，并向下渗透进入含水层，造成地下水</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土壤</w:t>
            </w:r>
            <w:r>
              <w:rPr>
                <w:rFonts w:hint="eastAsia" w:ascii="Times New Roman" w:hAnsi="Times New Roman" w:eastAsia="宋体" w:cs="Times New Roman"/>
                <w:b w:val="0"/>
                <w:bCs w:val="0"/>
                <w:color w:val="000000" w:themeColor="text1"/>
                <w:sz w:val="24"/>
                <w:szCs w:val="24"/>
                <w:highlight w:val="none"/>
                <w:u w:val="none"/>
                <w14:textFill>
                  <w14:solidFill>
                    <w14:schemeClr w14:val="tx1"/>
                  </w14:solidFill>
                </w14:textFill>
              </w:rPr>
              <w:t>环境污染</w:t>
            </w:r>
            <w:r>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t>。</w:t>
            </w:r>
          </w:p>
          <w:p>
            <w:pPr>
              <w:keepNext w:val="0"/>
              <w:keepLines w:val="0"/>
              <w:pageBreakBefore w:val="0"/>
              <w:widowControl/>
              <w:suppressLineNumbers w:val="0"/>
              <w:kinsoku/>
              <w:wordWrap w:val="0"/>
              <w:overflowPunct/>
              <w:topLinePunct w:val="0"/>
              <w:autoSpaceDE/>
              <w:autoSpaceDN/>
              <w:bidi w:val="0"/>
              <w:adjustRightInd/>
              <w:snapToGrid/>
              <w:spacing w:line="500" w:lineRule="exact"/>
              <w:jc w:val="both"/>
              <w:textAlignment w:val="auto"/>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b/>
                <w:bCs/>
                <w:color w:val="000000" w:themeColor="text1"/>
                <w:kern w:val="0"/>
                <w:sz w:val="24"/>
                <w:szCs w:val="24"/>
                <w:lang w:val="en-US" w:eastAsia="zh-CN" w:bidi="ar"/>
                <w14:textFill>
                  <w14:solidFill>
                    <w14:schemeClr w14:val="tx1"/>
                  </w14:solidFill>
                </w14:textFill>
              </w:rPr>
              <w:t>4.5.2 防控措施</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为防止物料泄漏对地下水</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土壤</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造成污染，按照</w:t>
            </w:r>
            <w:r>
              <w:rPr>
                <w:rFonts w:hint="eastAsia" w:ascii="Times New Roman" w:hAnsi="Times New Roman" w:eastAsia="宋体" w:cs="宋体"/>
                <w:b w:val="0"/>
                <w:bCs w:val="0"/>
                <w:color w:val="000000" w:themeColor="text1"/>
                <w:sz w:val="24"/>
                <w:szCs w:val="24"/>
                <w:highlight w:val="none"/>
                <w:u w:val="none"/>
                <w14:textFill>
                  <w14:solidFill>
                    <w14:schemeClr w14:val="tx1"/>
                  </w14:solidFill>
                </w14:textFill>
              </w:rPr>
              <w:t>“源头控制、分区防控、污染监控、应急响应”</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，重点突出饮用水水质安全的原则，本评价建议采取以下防范措施。</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1</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源头控制措施</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为防止物料泄漏对</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地下水、土壤</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造成污染影响，应对</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仓储区、</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事故应急池</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暂存池等</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防渗措施的性能定期进行检测。便于发现污染物的跑、冒、滴、漏，将污染物跑、冒、滴、漏降至最低限度。</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2</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防渗</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措施</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为了避免油品泄露事故造成地下水污染，工程设计考虑将在总图布置上严格区分污染防治区和非污染防治区，其中污染防治区分为一般污染防治区、重点污染防治区。结合本项目建构筑物、管线、储存与运输装置等的布局，根据各生产功能单位是否可能对地下水造成污染及其风险程度，对该项目进行污染防治区划分。</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据现场踏勘，目前企业租用厂房为混凝土结构，地面已经进行混凝土防渗硬化处理，防渗层的强度等级为C30，可以满足一般防渗要求。对于重点防渗区（应急事故池、收集沟、管道、各类危险废物储存区、危废暂存间、碱液喷淋塔）地面，采用三层防渗措施，其中下层采用夯实黏土，中间层采用耐腐蚀混凝土防渗层，混凝土防渗层的等级不应小于C20，水灰比不宜大于0.5，混凝土的抗渗等级不宜小于P10，其厚度不宜小于150mm，上层采用环氧树脂防渗层，其厚度范围为2-5mm。同时要求企业加强管理和维护，定期检查，一旦发现损坏，应及时修补，保证车间地面的防渗效果。</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对可能泄露的区域地面进行防渗处理，并及时的将泄露、渗漏的油品收集进行处理，可有效防止泄露地面的污染渗入地下。针对不同的污染防治区域采用不同的防渗技术要求，详见下表。</w:t>
            </w:r>
          </w:p>
          <w:p>
            <w:pPr>
              <w:keepNext w:val="0"/>
              <w:keepLines w:val="0"/>
              <w:pageBreakBefore w:val="0"/>
              <w:widowControl/>
              <w:suppressLineNumbers w:val="0"/>
              <w:kinsoku/>
              <w:wordWrap w:val="0"/>
              <w:overflowPunct/>
              <w:topLinePunct w:val="0"/>
              <w:autoSpaceDE/>
              <w:autoSpaceDN/>
              <w:bidi w:val="0"/>
              <w:adjustRightInd/>
              <w:snapToGrid/>
              <w:spacing w:line="240" w:lineRule="auto"/>
              <w:ind w:firstLine="422" w:firstLineChars="200"/>
              <w:jc w:val="center"/>
              <w:textAlignment w:val="auto"/>
              <w:rPr>
                <w:rFonts w:hint="default" w:ascii="Times New Roman" w:hAnsi="Times New Roman"/>
                <w:b/>
                <w:bCs/>
                <w:color w:val="000000" w:themeColor="text1"/>
                <w:sz w:val="21"/>
                <w:szCs w:val="21"/>
                <w:lang w:val="en-US"/>
                <w14:textFill>
                  <w14:solidFill>
                    <w14:schemeClr w14:val="tx1"/>
                  </w14:solidFill>
                </w14:textFill>
              </w:rPr>
            </w:pPr>
            <w:r>
              <w:rPr>
                <w:rFonts w:hint="eastAsia" w:ascii="Times New Roman" w:hAnsi="Times New Roman" w:eastAsia="宋体" w:cs="宋体"/>
                <w:b/>
                <w:bCs/>
                <w:color w:val="000000" w:themeColor="text1"/>
                <w:kern w:val="0"/>
                <w:sz w:val="21"/>
                <w:szCs w:val="21"/>
                <w:lang w:val="en-US" w:eastAsia="zh-CN" w:bidi="ar"/>
                <w14:textFill>
                  <w14:solidFill>
                    <w14:schemeClr w14:val="tx1"/>
                  </w14:solidFill>
                </w14:textFill>
              </w:rPr>
              <w:t>表4-11  项目地下水、土壤污染防治分区表</w:t>
            </w:r>
          </w:p>
          <w:tbl>
            <w:tblPr>
              <w:tblStyle w:val="19"/>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65"/>
              <w:gridCol w:w="3751"/>
              <w:gridCol w:w="27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防渗分区</w:t>
                  </w:r>
                </w:p>
              </w:tc>
              <w:tc>
                <w:tcPr>
                  <w:tcW w:w="236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防渗区域</w:t>
                  </w:r>
                </w:p>
              </w:tc>
              <w:tc>
                <w:tcPr>
                  <w:tcW w:w="171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防渗技术要求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重点防渗区</w:t>
                  </w:r>
                </w:p>
              </w:tc>
              <w:tc>
                <w:tcPr>
                  <w:tcW w:w="236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宋体"/>
                      <w:color w:val="000000" w:themeColor="text1"/>
                      <w:kern w:val="0"/>
                      <w:sz w:val="21"/>
                      <w:szCs w:val="21"/>
                      <w:lang w:val="en-US" w:eastAsia="zh-CN" w:bidi="ar"/>
                      <w14:textFill>
                        <w14:solidFill>
                          <w14:schemeClr w14:val="tx1"/>
                        </w14:solidFill>
                      </w14:textFill>
                    </w:rPr>
                    <w:t>应急事故池、收集沟、管道、各类危险废物储存区、危废暂存间、碱液喷淋塔</w:t>
                  </w:r>
                </w:p>
              </w:tc>
              <w:tc>
                <w:tcPr>
                  <w:tcW w:w="171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u w:val="none"/>
                      <w:vertAlign w:val="baseline"/>
                      <w:lang w:eastAsia="zh-CN"/>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等效黏土防渗层 Mb≥6.0m，K≤1.0×10</w:t>
                  </w:r>
                  <w:r>
                    <w:rPr>
                      <w:rFonts w:hint="default"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vertAlign w:val="superscript"/>
                      <w:lang w:val="en-US" w:eastAsia="zh-CN" w:bidi="ar"/>
                      <w14:textFill>
                        <w14:solidFill>
                          <w14:schemeClr w14:val="tx1"/>
                        </w14:solidFill>
                      </w14:textFill>
                    </w:rPr>
                    <w:t>7</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cm/s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92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val="en-US" w:eastAsia="zh-CN"/>
                      <w14:textFill>
                        <w14:solidFill>
                          <w14:schemeClr w14:val="tx1"/>
                        </w14:solidFill>
                      </w14:textFill>
                    </w:rPr>
                    <w:t>一般防渗区</w:t>
                  </w:r>
                </w:p>
              </w:tc>
              <w:tc>
                <w:tcPr>
                  <w:tcW w:w="236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u w:val="none"/>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eastAsia="zh-CN"/>
                      <w14:textFill>
                        <w14:solidFill>
                          <w14:schemeClr w14:val="tx1"/>
                        </w14:solidFill>
                      </w14:textFill>
                    </w:rPr>
                    <w:t>厂区运输道路</w:t>
                  </w:r>
                </w:p>
              </w:tc>
              <w:tc>
                <w:tcPr>
                  <w:tcW w:w="1713" w:type="pct"/>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Times New Roman"/>
                      <w:b w:val="0"/>
                      <w:bCs w:val="0"/>
                      <w:color w:val="000000" w:themeColor="text1"/>
                      <w:sz w:val="21"/>
                      <w:szCs w:val="21"/>
                      <w:highlight w:val="none"/>
                      <w:u w:val="none"/>
                      <w:vertAlign w:val="baseline"/>
                      <w:lang w:eastAsia="zh-CN"/>
                      <w14:textFill>
                        <w14:solidFill>
                          <w14:schemeClr w14:val="tx1"/>
                        </w14:solidFill>
                      </w14:textFill>
                    </w:rPr>
                  </w:pPr>
                  <w:r>
                    <w:rPr>
                      <w:rFonts w:hint="eastAsia" w:ascii="Times New Roman" w:hAnsi="Times New Roman" w:eastAsia="宋体" w:cs="Times New Roman"/>
                      <w:b w:val="0"/>
                      <w:bCs w:val="0"/>
                      <w:color w:val="000000" w:themeColor="text1"/>
                      <w:sz w:val="21"/>
                      <w:szCs w:val="21"/>
                      <w:highlight w:val="none"/>
                      <w:u w:val="none"/>
                      <w:vertAlign w:val="baseline"/>
                      <w:lang w:eastAsia="zh-CN"/>
                      <w14:textFill>
                        <w14:solidFill>
                          <w14:schemeClr w14:val="tx1"/>
                        </w14:solidFill>
                      </w14:textFill>
                    </w:rPr>
                    <w:t>等效黏土防渗层 Mb≥1.5m，K≤1.0×10</w:t>
                  </w:r>
                  <w:r>
                    <w:rPr>
                      <w:rFonts w:hint="eastAsia" w:ascii="Times New Roman" w:hAnsi="Times New Roman" w:eastAsia="宋体" w:cs="Times New Roman"/>
                      <w:b w:val="0"/>
                      <w:bCs w:val="0"/>
                      <w:color w:val="000000" w:themeColor="text1"/>
                      <w:sz w:val="21"/>
                      <w:szCs w:val="21"/>
                      <w:highlight w:val="none"/>
                      <w:u w:val="none"/>
                      <w:vertAlign w:val="superscript"/>
                      <w:lang w:eastAsia="zh-CN"/>
                      <w14:textFill>
                        <w14:solidFill>
                          <w14:schemeClr w14:val="tx1"/>
                        </w14:solidFill>
                      </w14:textFill>
                    </w:rPr>
                    <w:t>-7</w:t>
                  </w:r>
                  <w:r>
                    <w:rPr>
                      <w:rFonts w:hint="eastAsia" w:ascii="Times New Roman" w:hAnsi="Times New Roman" w:eastAsia="宋体" w:cs="Times New Roman"/>
                      <w:b w:val="0"/>
                      <w:bCs w:val="0"/>
                      <w:color w:val="000000" w:themeColor="text1"/>
                      <w:sz w:val="21"/>
                      <w:szCs w:val="21"/>
                      <w:highlight w:val="none"/>
                      <w:u w:val="none"/>
                      <w:vertAlign w:val="baseline"/>
                      <w:lang w:eastAsia="zh-CN"/>
                      <w14:textFill>
                        <w14:solidFill>
                          <w14:schemeClr w14:val="tx1"/>
                        </w14:solidFill>
                      </w14:textFill>
                    </w:rPr>
                    <w:t>cm/s</w:t>
                  </w: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pP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eastAsia" w:ascii="Times New Roman" w:hAnsi="Times New Roman" w:eastAsia="宋体" w:cs="Times New Roman"/>
                <w:b w:val="0"/>
                <w:bCs w:val="0"/>
                <w:color w:val="000000" w:themeColor="text1"/>
                <w:sz w:val="24"/>
                <w:szCs w:val="24"/>
                <w:highlight w:val="none"/>
                <w:u w:val="none"/>
                <w:lang w:val="en-US" w:eastAsia="zh-CN"/>
                <w14:textFill>
                  <w14:solidFill>
                    <w14:schemeClr w14:val="tx1"/>
                  </w14:solidFill>
                </w14:textFill>
              </w:rPr>
              <w:t>3</w:t>
            </w:r>
            <w:r>
              <w:rPr>
                <w:rFonts w:hint="eastAsia"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监控计划</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b w:val="0"/>
                <w:bCs w:val="0"/>
                <w:color w:val="000000" w:themeColor="text1"/>
                <w:kern w:val="0"/>
                <w:sz w:val="24"/>
                <w:szCs w:val="24"/>
                <w:u w:val="no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建立和完善本项目的</w:t>
            </w:r>
            <w:r>
              <w:rPr>
                <w:rFonts w:hint="default" w:ascii="Times New Roman" w:hAnsi="Times New Roman" w:eastAsia="宋体" w:cs="Times New Roman"/>
                <w:b w:val="0"/>
                <w:bCs w:val="0"/>
                <w:color w:val="000000" w:themeColor="text1"/>
                <w:sz w:val="24"/>
                <w:szCs w:val="24"/>
                <w:highlight w:val="none"/>
                <w:u w:val="none"/>
                <w:lang w:eastAsia="zh-CN"/>
                <w14:textFill>
                  <w14:solidFill>
                    <w14:schemeClr w14:val="tx1"/>
                  </w14:solidFill>
                </w14:textFill>
              </w:rPr>
              <w:t>地下水、土壤</w:t>
            </w:r>
            <w:r>
              <w:rPr>
                <w:rFonts w:hint="default" w:ascii="Times New Roman" w:hAnsi="Times New Roman" w:eastAsia="宋体" w:cs="Times New Roman"/>
                <w:b w:val="0"/>
                <w:bCs w:val="0"/>
                <w:color w:val="000000" w:themeColor="text1"/>
                <w:sz w:val="24"/>
                <w:szCs w:val="24"/>
                <w:highlight w:val="none"/>
                <w:u w:val="none"/>
                <w14:textFill>
                  <w14:solidFill>
                    <w14:schemeClr w14:val="tx1"/>
                  </w14:solidFill>
                </w14:textFill>
              </w:rPr>
              <w:t>环境监测制度和环境管理体系，制定完善的监测计划，环境监测工作可委托当地有资质的环境监测机构承担</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宋体"/>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t>①地下水跟踪监测计划</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根据《工业企业土壤和地下水自行监测技术指南》（HJ1209-2021）、《地下水环境监测技术规范》（HJ164-2020）等文件要求和项目区域地下水流向、项目平面布罝特征及地下水监测布点原则，本项目设地下水水质监测井</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眼，分别布设在</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厂区上游200m、</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厂区</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贮存区内</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下游</w:t>
            </w: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附近、厂区下游湛北乡地下水井</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随时掌握地下水水质变化趋势。监测点采样频次宜不少于每年1次，发现有地下水污染现象时需增加采样频次。跟踪监测结果应按项目有关规定及时建立档案，并抄送生态环境行政主管部门，对于常规检测数据应该进行公开，满足法律中关于知情权的要求。发现污染时，要及时进行处理，开展系统调查，并上报有关部门。</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
                <w14:textFill>
                  <w14:solidFill>
                    <w14:schemeClr w14:val="tx1"/>
                  </w14:solidFill>
                </w14:textFill>
              </w:rPr>
              <w:t>本项目地下水跟踪监测计划见下表。</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表4-12   地下水跟踪监测计划一览表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94"/>
              <w:gridCol w:w="3627"/>
              <w:gridCol w:w="1330"/>
              <w:gridCol w:w="1144"/>
              <w:gridCol w:w="1146"/>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序号</w:t>
                  </w:r>
                </w:p>
              </w:tc>
              <w:tc>
                <w:tcPr>
                  <w:tcW w:w="3627"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监测因子</w:t>
                  </w:r>
                </w:p>
              </w:tc>
              <w:tc>
                <w:tcPr>
                  <w:tcW w:w="133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功能</w:t>
                  </w:r>
                </w:p>
              </w:tc>
              <w:tc>
                <w:tcPr>
                  <w:tcW w:w="114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监测点位</w:t>
                  </w:r>
                </w:p>
              </w:tc>
              <w:tc>
                <w:tcPr>
                  <w:tcW w:w="1146"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1</w:t>
                  </w:r>
                </w:p>
              </w:tc>
              <w:tc>
                <w:tcPr>
                  <w:tcW w:w="3627" w:type="dxa"/>
                  <w:vMerge w:val="restar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pH、K</w:t>
                  </w:r>
                  <w:r>
                    <w:rPr>
                      <w:rFonts w:hint="default" w:ascii="Times New Roman" w:hAnsi="Times New Roman" w:eastAsia="宋体" w:cs="Times New Roman"/>
                      <w:color w:val="000000" w:themeColor="text1"/>
                      <w:kern w:val="0"/>
                      <w:sz w:val="21"/>
                      <w:szCs w:val="21"/>
                      <w:u w:val="single"/>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、Na</w:t>
                  </w:r>
                  <w:r>
                    <w:rPr>
                      <w:rFonts w:hint="default" w:ascii="Times New Roman" w:hAnsi="Times New Roman" w:eastAsia="宋体" w:cs="Times New Roman"/>
                      <w:color w:val="000000" w:themeColor="text1"/>
                      <w:kern w:val="0"/>
                      <w:sz w:val="21"/>
                      <w:szCs w:val="21"/>
                      <w:u w:val="single"/>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、Ca</w:t>
                  </w:r>
                  <w:r>
                    <w:rPr>
                      <w:rFonts w:hint="default" w:ascii="Times New Roman" w:hAnsi="Times New Roman" w:eastAsia="宋体" w:cs="Times New Roman"/>
                      <w:color w:val="000000" w:themeColor="text1"/>
                      <w:kern w:val="0"/>
                      <w:sz w:val="21"/>
                      <w:szCs w:val="21"/>
                      <w:u w:val="singl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、Mg</w:t>
                  </w:r>
                  <w:r>
                    <w:rPr>
                      <w:rFonts w:hint="default" w:ascii="Times New Roman" w:hAnsi="Times New Roman" w:eastAsia="宋体" w:cs="Times New Roman"/>
                      <w:color w:val="000000" w:themeColor="text1"/>
                      <w:kern w:val="0"/>
                      <w:sz w:val="21"/>
                      <w:szCs w:val="21"/>
                      <w:u w:val="singl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、CO</w:t>
                  </w:r>
                  <w:r>
                    <w:rPr>
                      <w:rFonts w:hint="default" w:ascii="Times New Roman" w:hAnsi="Times New Roman" w:eastAsia="宋体" w:cs="Times New Roman"/>
                      <w:color w:val="000000" w:themeColor="text1"/>
                      <w:kern w:val="0"/>
                      <w:sz w:val="21"/>
                      <w:szCs w:val="21"/>
                      <w:u w:val="singl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u w:val="singl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、HCO</w:t>
                  </w:r>
                  <w:r>
                    <w:rPr>
                      <w:rFonts w:hint="default" w:ascii="Times New Roman" w:hAnsi="Times New Roman" w:eastAsia="宋体" w:cs="Times New Roman"/>
                      <w:color w:val="000000" w:themeColor="text1"/>
                      <w:kern w:val="0"/>
                      <w:sz w:val="21"/>
                      <w:szCs w:val="21"/>
                      <w:u w:val="single"/>
                      <w:vertAlign w:val="subscript"/>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u w:val="single"/>
                      <w:vertAlign w:val="superscript"/>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r>
                    <w:rPr>
                      <w:rFonts w:hint="eastAsia" w:cs="Times New Roman"/>
                      <w:color w:val="000000" w:themeColor="text1"/>
                      <w:kern w:val="0"/>
                      <w:sz w:val="21"/>
                      <w:szCs w:val="21"/>
                      <w:u w:val="single"/>
                      <w:lang w:val="en-US" w:eastAsia="zh-CN" w:bidi="ar"/>
                      <w14:textFill>
                        <w14:solidFill>
                          <w14:schemeClr w14:val="tx1"/>
                        </w14:solidFill>
                      </w14:textFill>
                    </w:rPr>
                    <w:t>SO</w:t>
                  </w:r>
                  <w:r>
                    <w:rPr>
                      <w:rFonts w:hint="eastAsia" w:cs="Times New Roman"/>
                      <w:color w:val="000000" w:themeColor="text1"/>
                      <w:kern w:val="0"/>
                      <w:sz w:val="21"/>
                      <w:szCs w:val="21"/>
                      <w:u w:val="single"/>
                      <w:vertAlign w:val="subscript"/>
                      <w:lang w:val="en-US" w:eastAsia="zh-CN" w:bidi="ar"/>
                      <w14:textFill>
                        <w14:solidFill>
                          <w14:schemeClr w14:val="tx1"/>
                        </w14:solidFill>
                      </w14:textFill>
                    </w:rPr>
                    <w:t>4</w:t>
                  </w:r>
                  <w:r>
                    <w:rPr>
                      <w:rFonts w:hint="eastAsia" w:cs="Times New Roman"/>
                      <w:color w:val="000000" w:themeColor="text1"/>
                      <w:kern w:val="0"/>
                      <w:sz w:val="21"/>
                      <w:szCs w:val="21"/>
                      <w:u w:val="single"/>
                      <w:vertAlign w:val="superscript"/>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w:t>
                  </w:r>
                  <w:r>
                    <w:rPr>
                      <w:rFonts w:hint="eastAsia" w:cs="Times New Roman"/>
                      <w:color w:val="000000" w:themeColor="text1"/>
                      <w:kern w:val="0"/>
                      <w:sz w:val="21"/>
                      <w:szCs w:val="21"/>
                      <w:u w:val="single"/>
                      <w:lang w:val="en-US" w:eastAsia="zh-CN" w:bidi="ar"/>
                      <w14:textFill>
                        <w14:solidFill>
                          <w14:schemeClr w14:val="tx1"/>
                        </w14:solidFill>
                      </w14:textFill>
                    </w:rPr>
                    <w:t>Cl</w:t>
                  </w:r>
                  <w:r>
                    <w:rPr>
                      <w:rFonts w:hint="eastAsia" w:cs="Times New Roman"/>
                      <w:color w:val="000000" w:themeColor="text1"/>
                      <w:kern w:val="0"/>
                      <w:sz w:val="21"/>
                      <w:szCs w:val="21"/>
                      <w:u w:val="single"/>
                      <w:vertAlign w:val="superscript"/>
                      <w:lang w:val="en-US" w:eastAsia="zh-CN" w:bidi="ar"/>
                      <w14:textFill>
                        <w14:solidFill>
                          <w14:schemeClr w14:val="tx1"/>
                        </w14:solidFill>
                      </w14:textFill>
                    </w:rPr>
                    <w:t>-</w:t>
                  </w:r>
                  <w:r>
                    <w:rPr>
                      <w:rFonts w:hint="eastAsia" w:cs="Times New Roman"/>
                      <w:color w:val="000000" w:themeColor="text1"/>
                      <w:kern w:val="0"/>
                      <w:sz w:val="21"/>
                      <w:szCs w:val="21"/>
                      <w:u w:val="single"/>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氨氮、</w:t>
                  </w:r>
                  <w:r>
                    <w:rPr>
                      <w:rFonts w:hint="eastAsia" w:cs="Times New Roman"/>
                      <w:color w:val="000000" w:themeColor="text1"/>
                      <w:kern w:val="0"/>
                      <w:sz w:val="21"/>
                      <w:szCs w:val="21"/>
                      <w:u w:val="single"/>
                      <w:lang w:val="en-US" w:eastAsia="zh-CN" w:bidi="ar"/>
                      <w14:textFill>
                        <w14:solidFill>
                          <w14:schemeClr w14:val="tx1"/>
                        </w14:solidFill>
                      </w14:textFill>
                    </w:rPr>
                    <w:t>硝酸盐、</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亚硝酸盐、氰化物、挥发酚类、</w:t>
                  </w:r>
                  <w:r>
                    <w:rPr>
                      <w:rFonts w:hint="eastAsia" w:cs="Times New Roman"/>
                      <w:color w:val="000000" w:themeColor="text1"/>
                      <w:kern w:val="0"/>
                      <w:sz w:val="21"/>
                      <w:szCs w:val="21"/>
                      <w:u w:val="single"/>
                      <w:lang w:val="en-US" w:eastAsia="zh-CN" w:bidi="ar"/>
                      <w14:textFill>
                        <w14:solidFill>
                          <w14:schemeClr w14:val="tx1"/>
                        </w14:solidFill>
                      </w14:textFill>
                    </w:rPr>
                    <w:t>总硬度、</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汞、砷、六价铬、铅、氟化物、</w:t>
                  </w:r>
                  <w:r>
                    <w:rPr>
                      <w:rFonts w:hint="eastAsia" w:cs="Times New Roman"/>
                      <w:color w:val="000000" w:themeColor="text1"/>
                      <w:kern w:val="0"/>
                      <w:sz w:val="21"/>
                      <w:szCs w:val="21"/>
                      <w:u w:val="single"/>
                      <w:lang w:val="en-US" w:eastAsia="zh-CN" w:bidi="ar"/>
                      <w14:textFill>
                        <w14:solidFill>
                          <w14:schemeClr w14:val="tx1"/>
                        </w14:solidFill>
                      </w14:textFill>
                    </w:rPr>
                    <w:t>氯化物、硫酸盐、</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镉、铁、锰、溶解性总固体、耗氧量、菌</w:t>
                  </w:r>
                  <w:r>
                    <w:rPr>
                      <w:rFonts w:hint="eastAsia" w:cs="Times New Roman"/>
                      <w:color w:val="000000" w:themeColor="text1"/>
                      <w:kern w:val="0"/>
                      <w:sz w:val="21"/>
                      <w:szCs w:val="21"/>
                      <w:u w:val="single"/>
                      <w:lang w:val="en-US" w:eastAsia="zh-CN" w:bidi="ar"/>
                      <w14:textFill>
                        <w14:solidFill>
                          <w14:schemeClr w14:val="tx1"/>
                        </w14:solidFill>
                      </w14:textFill>
                    </w:rPr>
                    <w:t>落</w:t>
                  </w: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总数、总大肠杆菌</w:t>
                  </w:r>
                  <w:r>
                    <w:rPr>
                      <w:rFonts w:hint="eastAsia" w:cs="Times New Roman"/>
                      <w:color w:val="000000" w:themeColor="text1"/>
                      <w:kern w:val="0"/>
                      <w:sz w:val="21"/>
                      <w:szCs w:val="21"/>
                      <w:u w:val="single"/>
                      <w:lang w:val="en-US" w:eastAsia="zh-CN" w:bidi="ar"/>
                      <w14:textFill>
                        <w14:solidFill>
                          <w14:schemeClr w14:val="tx1"/>
                        </w14:solidFill>
                      </w14:textFill>
                    </w:rPr>
                    <w:t>群、多环芳烃</w:t>
                  </w:r>
                </w:p>
              </w:tc>
              <w:tc>
                <w:tcPr>
                  <w:tcW w:w="133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对照监测井</w:t>
                  </w:r>
                </w:p>
              </w:tc>
              <w:tc>
                <w:tcPr>
                  <w:tcW w:w="114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厂区上游200米</w:t>
                  </w:r>
                </w:p>
              </w:tc>
              <w:tc>
                <w:tcPr>
                  <w:tcW w:w="1146" w:type="dxa"/>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不少于每年1次，发现有地下水污染现象时需增加采样频次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2</w:t>
                  </w:r>
                </w:p>
              </w:tc>
              <w:tc>
                <w:tcPr>
                  <w:tcW w:w="3627"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3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污染控制监测井</w:t>
                  </w:r>
                </w:p>
              </w:tc>
              <w:tc>
                <w:tcPr>
                  <w:tcW w:w="114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厂区</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贮存区内</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下游</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附近</w:t>
                  </w:r>
                </w:p>
              </w:tc>
              <w:tc>
                <w:tcPr>
                  <w:tcW w:w="1146"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both"/>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9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3</w:t>
                  </w:r>
                </w:p>
              </w:tc>
              <w:tc>
                <w:tcPr>
                  <w:tcW w:w="3627"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c>
                <w:tcPr>
                  <w:tcW w:w="1330"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t>污染控制监测井</w:t>
                  </w:r>
                </w:p>
              </w:tc>
              <w:tc>
                <w:tcPr>
                  <w:tcW w:w="1144"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厂区下游湛北乡地下水井</w:t>
                  </w:r>
                </w:p>
              </w:tc>
              <w:tc>
                <w:tcPr>
                  <w:tcW w:w="1146"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val="0"/>
                      <w:bCs w:val="0"/>
                      <w:color w:val="000000" w:themeColor="text1"/>
                      <w:kern w:val="0"/>
                      <w:sz w:val="21"/>
                      <w:szCs w:val="21"/>
                      <w:vertAlign w:val="baseline"/>
                      <w:lang w:val="en-US" w:eastAsia="zh-CN" w:bidi="ar"/>
                      <w14:textFill>
                        <w14:solidFill>
                          <w14:schemeClr w14:val="tx1"/>
                        </w14:solidFill>
                      </w14:textFill>
                    </w:rPr>
                  </w:pP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4"/>
                <w:szCs w:val="24"/>
                <w:lang w:val="en-US" w:eastAsia="zh-CN" w:bidi="ar"/>
                <w14:textFill>
                  <w14:solidFill>
                    <w14:schemeClr w14:val="tx1"/>
                  </w14:solidFill>
                </w14:textFill>
              </w:rPr>
              <w:t>②土壤跟踪监测计划</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ascii="Times New Roman" w:hAnsi="Times New Roman"/>
                <w:color w:val="000000" w:themeColor="text1"/>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根据《环境影响评价技术导则  土壤环境》（</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HJ964-2018</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）、《工业企业土壤和地下水自行监测技术指南》（</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HJ1209-2021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）等文件要求，本项目需要开展土壤跟踪监测计划，设置至少</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2</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个土壤监测点，监测点采样频次宜不少于每年</w:t>
            </w:r>
            <w:r>
              <w:rPr>
                <w:rFonts w:hint="default" w:ascii="Times New Roman" w:hAnsi="Times New Roman" w:eastAsia="宋体" w:cs="Times New Roman"/>
                <w:color w:val="000000" w:themeColor="text1"/>
                <w:kern w:val="0"/>
                <w:sz w:val="24"/>
                <w:szCs w:val="24"/>
                <w:lang w:val="en-US" w:eastAsia="zh-CN" w:bidi="ar"/>
                <w14:textFill>
                  <w14:solidFill>
                    <w14:schemeClr w14:val="tx1"/>
                  </w14:solidFill>
                </w14:textFill>
              </w:rPr>
              <w:t>1</w:t>
            </w: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次。土壤跟踪监测计划见下表。</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lang w:val="en-US" w:eastAsia="zh-CN" w:bidi="ar"/>
                <w14:textFill>
                  <w14:solidFill>
                    <w14:schemeClr w14:val="tx1"/>
                  </w14:solidFill>
                </w14:textFill>
              </w:rPr>
              <w:t>表4-13    土壤跟踪监测计划一览表</w:t>
            </w:r>
          </w:p>
          <w:tbl>
            <w:tblPr>
              <w:tblStyle w:val="19"/>
              <w:tblW w:w="0" w:type="auto"/>
              <w:tblInd w:w="5"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683"/>
              <w:gridCol w:w="2501"/>
              <w:gridCol w:w="1873"/>
              <w:gridCol w:w="1236"/>
              <w:gridCol w:w="164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序号</w:t>
                  </w:r>
                </w:p>
              </w:tc>
              <w:tc>
                <w:tcPr>
                  <w:tcW w:w="2501"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监测因子</w:t>
                  </w:r>
                </w:p>
              </w:tc>
              <w:tc>
                <w:tcPr>
                  <w:tcW w:w="3109" w:type="dxa"/>
                  <w:gridSpan w:val="2"/>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监测点位</w:t>
                  </w:r>
                </w:p>
              </w:tc>
              <w:tc>
                <w:tcPr>
                  <w:tcW w:w="1648"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监测频次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622" w:hRule="atLeast"/>
              </w:trPr>
              <w:tc>
                <w:tcPr>
                  <w:tcW w:w="683"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1</w:t>
                  </w:r>
                </w:p>
              </w:tc>
              <w:tc>
                <w:tcPr>
                  <w:tcW w:w="2501" w:type="dxa"/>
                  <w:vMerge w:val="restart"/>
                  <w:tcBorders>
                    <w:tl2br w:val="nil"/>
                    <w:tr2bl w:val="nil"/>
                  </w:tcBorders>
                  <w:noWrap w:val="0"/>
                  <w:vAlign w:val="center"/>
                </w:tcPr>
                <w:p>
                  <w:pPr>
                    <w:keepNext w:val="0"/>
                    <w:keepLines w:val="0"/>
                    <w:pageBreakBefore w:val="0"/>
                    <w:widowControl/>
                    <w:suppressLineNumbers w:val="0"/>
                    <w:kinsoku/>
                    <w:wordWrap w:val="0"/>
                    <w:topLinePunct w:val="0"/>
                    <w:bidi w:val="0"/>
                    <w:jc w:val="both"/>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u w:val="single"/>
                      <w:lang w:val="en-US" w:eastAsia="zh-CN" w:bidi="ar"/>
                      <w14:textFill>
                        <w14:solidFill>
                          <w14:schemeClr w14:val="tx1"/>
                        </w14:solidFill>
                      </w14:textFill>
                    </w:rPr>
                    <w:t>《土壤环境质量 建设用地土壤污染风险管控标准（试行）》（GB36600-2018）表1中45项目基本因子</w:t>
                  </w:r>
                  <w:r>
                    <w:rPr>
                      <w:rFonts w:hint="eastAsia" w:cs="Times New Roman"/>
                      <w:color w:val="000000" w:themeColor="text1"/>
                      <w:kern w:val="0"/>
                      <w:sz w:val="21"/>
                      <w:szCs w:val="21"/>
                      <w:u w:val="single"/>
                      <w:lang w:val="en-US" w:eastAsia="zh-CN" w:bidi="ar"/>
                      <w14:textFill>
                        <w14:solidFill>
                          <w14:schemeClr w14:val="tx1"/>
                        </w14:solidFill>
                      </w14:textFill>
                    </w:rPr>
                    <w:t>、</w:t>
                  </w:r>
                  <w:r>
                    <w:rPr>
                      <w:rFonts w:hint="eastAsia" w:ascii="Times New Roman" w:hAnsi="Times New Roman" w:eastAsia="宋体" w:cs="宋体"/>
                      <w:color w:val="000000" w:themeColor="text1"/>
                      <w:kern w:val="0"/>
                      <w:sz w:val="21"/>
                      <w:szCs w:val="21"/>
                      <w:u w:val="single"/>
                      <w:lang w:val="en-US" w:eastAsia="zh-CN" w:bidi="ar"/>
                      <w14:textFill>
                        <w14:solidFill>
                          <w14:schemeClr w14:val="tx1"/>
                        </w14:solidFill>
                      </w14:textFill>
                    </w:rPr>
                    <w:t>石油烃</w:t>
                  </w:r>
                  <w:r>
                    <w:rPr>
                      <w:rFonts w:hint="eastAsia" w:cs="宋体"/>
                      <w:color w:val="000000" w:themeColor="text1"/>
                      <w:kern w:val="0"/>
                      <w:sz w:val="21"/>
                      <w:szCs w:val="21"/>
                      <w:u w:val="single"/>
                      <w:lang w:val="en-US" w:eastAsia="zh-CN" w:bidi="ar"/>
                      <w14:textFill>
                        <w14:solidFill>
                          <w14:schemeClr w14:val="tx1"/>
                        </w14:solidFill>
                      </w14:textFill>
                    </w:rPr>
                    <w:t>（C</w:t>
                  </w:r>
                  <w:r>
                    <w:rPr>
                      <w:rFonts w:hint="eastAsia" w:cs="宋体"/>
                      <w:color w:val="000000" w:themeColor="text1"/>
                      <w:kern w:val="0"/>
                      <w:sz w:val="21"/>
                      <w:szCs w:val="21"/>
                      <w:u w:val="single"/>
                      <w:vertAlign w:val="subscript"/>
                      <w:lang w:val="en-US" w:eastAsia="zh-CN" w:bidi="ar"/>
                      <w14:textFill>
                        <w14:solidFill>
                          <w14:schemeClr w14:val="tx1"/>
                        </w14:solidFill>
                      </w14:textFill>
                    </w:rPr>
                    <w:t>10</w:t>
                  </w:r>
                  <w:r>
                    <w:rPr>
                      <w:rFonts w:hint="eastAsia" w:cs="宋体"/>
                      <w:color w:val="000000" w:themeColor="text1"/>
                      <w:kern w:val="0"/>
                      <w:sz w:val="21"/>
                      <w:szCs w:val="21"/>
                      <w:u w:val="single"/>
                      <w:lang w:val="en-US" w:eastAsia="zh-CN" w:bidi="ar"/>
                      <w14:textFill>
                        <w14:solidFill>
                          <w14:schemeClr w14:val="tx1"/>
                        </w14:solidFill>
                      </w14:textFill>
                    </w:rPr>
                    <w:t>-C</w:t>
                  </w:r>
                  <w:r>
                    <w:rPr>
                      <w:rFonts w:hint="eastAsia" w:cs="宋体"/>
                      <w:color w:val="000000" w:themeColor="text1"/>
                      <w:kern w:val="0"/>
                      <w:sz w:val="21"/>
                      <w:szCs w:val="21"/>
                      <w:u w:val="single"/>
                      <w:vertAlign w:val="subscript"/>
                      <w:lang w:val="en-US" w:eastAsia="zh-CN" w:bidi="ar"/>
                      <w14:textFill>
                        <w14:solidFill>
                          <w14:schemeClr w14:val="tx1"/>
                        </w14:solidFill>
                      </w14:textFill>
                    </w:rPr>
                    <w:t>40</w:t>
                  </w:r>
                  <w:r>
                    <w:rPr>
                      <w:rFonts w:hint="eastAsia" w:cs="宋体"/>
                      <w:color w:val="000000" w:themeColor="text1"/>
                      <w:kern w:val="0"/>
                      <w:sz w:val="21"/>
                      <w:szCs w:val="21"/>
                      <w:u w:val="single"/>
                      <w:lang w:val="en-US" w:eastAsia="zh-CN" w:bidi="ar"/>
                      <w14:textFill>
                        <w14:solidFill>
                          <w14:schemeClr w14:val="tx1"/>
                        </w14:solidFill>
                      </w14:textFill>
                    </w:rPr>
                    <w:t>）</w:t>
                  </w:r>
                </w:p>
              </w:tc>
              <w:tc>
                <w:tcPr>
                  <w:tcW w:w="1873"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厂区北侧绿化带</w:t>
                  </w:r>
                </w:p>
              </w:tc>
              <w:tc>
                <w:tcPr>
                  <w:tcW w:w="1236" w:type="dxa"/>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至少一柱状样监测点位</w:t>
                  </w:r>
                </w:p>
              </w:tc>
              <w:tc>
                <w:tcPr>
                  <w:tcW w:w="1648" w:type="dxa"/>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不少于每年1次</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683"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2</w:t>
                  </w:r>
                </w:p>
              </w:tc>
              <w:tc>
                <w:tcPr>
                  <w:tcW w:w="2501"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p>
              </w:tc>
              <w:tc>
                <w:tcPr>
                  <w:tcW w:w="1873" w:type="dxa"/>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t>厂区西侧绿化带</w:t>
                  </w:r>
                </w:p>
              </w:tc>
              <w:tc>
                <w:tcPr>
                  <w:tcW w:w="1236"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p>
              </w:tc>
              <w:tc>
                <w:tcPr>
                  <w:tcW w:w="1648" w:type="dxa"/>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vertAlign w:val="baseline"/>
                      <w:lang w:val="en-US" w:eastAsia="zh-CN" w:bidi="ar"/>
                      <w14:textFill>
                        <w14:solidFill>
                          <w14:schemeClr w14:val="tx1"/>
                        </w14:solidFill>
                      </w14:textFill>
                    </w:rPr>
                  </w:pPr>
                </w:p>
              </w:tc>
            </w:tr>
          </w:tbl>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（4）制定地下水、土壤污染应急响应制度，明确污染状况下采取的控制措施、切断污染源的途径等。</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both"/>
              <w:textAlignment w:val="auto"/>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pPr>
            <w:r>
              <w:rPr>
                <w:rFonts w:hint="eastAsia" w:ascii="Times New Roman" w:hAnsi="Times New Roman" w:eastAsia="宋体" w:cs="宋体"/>
                <w:color w:val="000000" w:themeColor="text1"/>
                <w:kern w:val="0"/>
                <w:sz w:val="24"/>
                <w:szCs w:val="24"/>
                <w:lang w:val="en-US" w:eastAsia="zh-CN" w:bidi="ar"/>
                <w14:textFill>
                  <w14:solidFill>
                    <w14:schemeClr w14:val="tx1"/>
                  </w14:solidFill>
                </w14:textFill>
              </w:rPr>
              <w:t>本项目对可能产生土壤、地下水影响的各项途径均应进行有效预防，在确保各项防渗措施得以落实，并加强维护和厂区环境管理的前提下，可有效控制厂区内的污染物下渗现象，避免污染土壤、地下水。因此，本项目不会对厂区所在地的土壤、地下水环境产生明显影响。</w:t>
            </w:r>
          </w:p>
          <w:p>
            <w:pPr>
              <w:keepLines w:val="0"/>
              <w:pageBreakBefore w:val="0"/>
              <w:kinsoku/>
              <w:wordWrap w:val="0"/>
              <w:topLinePunct w:val="0"/>
              <w:bidi w:val="0"/>
              <w:spacing w:line="520" w:lineRule="exact"/>
              <w:rPr>
                <w:rFonts w:ascii="Times New Roman" w:hAnsi="Times New Roman"/>
                <w:b/>
                <w:color w:val="000000" w:themeColor="text1"/>
                <w:sz w:val="24"/>
                <w14:textFill>
                  <w14:solidFill>
                    <w14:schemeClr w14:val="tx1"/>
                  </w14:solidFill>
                </w14:textFill>
              </w:rPr>
            </w:pPr>
            <w:r>
              <w:rPr>
                <w:rFonts w:ascii="Times New Roman" w:hAnsi="Times New Roman"/>
                <w:b/>
                <w:color w:val="000000" w:themeColor="text1"/>
                <w:sz w:val="24"/>
                <w14:textFill>
                  <w14:solidFill>
                    <w14:schemeClr w14:val="tx1"/>
                  </w14:solidFill>
                </w14:textFill>
              </w:rPr>
              <w:t>4.6</w:t>
            </w:r>
            <w:r>
              <w:rPr>
                <w:rFonts w:hint="eastAsia" w:ascii="Times New Roman" w:hAnsi="Times New Roman"/>
                <w:b/>
                <w:color w:val="000000" w:themeColor="text1"/>
                <w:sz w:val="24"/>
                <w:lang w:val="en-US" w:eastAsia="zh-CN"/>
                <w14:textFill>
                  <w14:solidFill>
                    <w14:schemeClr w14:val="tx1"/>
                  </w14:solidFill>
                </w14:textFill>
              </w:rPr>
              <w:t xml:space="preserve"> </w:t>
            </w:r>
            <w:r>
              <w:rPr>
                <w:rFonts w:hint="eastAsia" w:ascii="Times New Roman" w:hAnsi="Times New Roman"/>
                <w:b/>
                <w:color w:val="000000" w:themeColor="text1"/>
                <w:sz w:val="24"/>
                <w14:textFill>
                  <w14:solidFill>
                    <w14:schemeClr w14:val="tx1"/>
                  </w14:solidFill>
                </w14:textFill>
              </w:rPr>
              <w:t>环境风险</w:t>
            </w:r>
          </w:p>
          <w:p>
            <w:pPr>
              <w:keepLines w:val="0"/>
              <w:pageBreakBefore w:val="0"/>
              <w:kinsoku/>
              <w:wordWrap w:val="0"/>
              <w:topLinePunct w:val="0"/>
              <w:bidi w:val="0"/>
              <w:spacing w:line="520" w:lineRule="exact"/>
              <w:rPr>
                <w:rFonts w:hint="default" w:ascii="Times New Roman" w:hAnsi="Times New Roman" w:eastAsia="宋体" w:cs="Times New Roman"/>
                <w:b/>
                <w:bCs/>
                <w:color w:val="000000" w:themeColor="text1"/>
                <w:sz w:val="24"/>
                <w:lang w:val="en-US" w:eastAsia="zh-CN"/>
                <w14:textFill>
                  <w14:solidFill>
                    <w14:schemeClr w14:val="tx1"/>
                  </w14:solidFill>
                </w14:textFill>
              </w:rPr>
            </w:pPr>
            <w:r>
              <w:rPr>
                <w:rFonts w:hint="default" w:ascii="Times New Roman" w:hAnsi="Times New Roman" w:eastAsia="宋体" w:cs="Times New Roman"/>
                <w:b/>
                <w:bCs/>
                <w:color w:val="000000" w:themeColor="text1"/>
                <w:sz w:val="24"/>
                <w14:textFill>
                  <w14:solidFill>
                    <w14:schemeClr w14:val="tx1"/>
                  </w14:solidFill>
                </w14:textFill>
              </w:rPr>
              <w:t>4.6.1</w:t>
            </w:r>
            <w:r>
              <w:rPr>
                <w:rFonts w:hint="eastAsia" w:ascii="Times New Roman" w:hAnsi="Times New Roman" w:eastAsia="宋体" w:cs="Times New Roman"/>
                <w:b/>
                <w:bCs/>
                <w:color w:val="000000" w:themeColor="text1"/>
                <w:sz w:val="24"/>
                <w:lang w:val="en-US" w:eastAsia="zh-CN"/>
                <w14:textFill>
                  <w14:solidFill>
                    <w14:schemeClr w14:val="tx1"/>
                  </w14:solidFill>
                </w14:textFill>
              </w:rPr>
              <w:t xml:space="preserve"> </w:t>
            </w:r>
            <w:r>
              <w:rPr>
                <w:rFonts w:hint="default" w:ascii="Times New Roman" w:hAnsi="Times New Roman" w:eastAsia="宋体" w:cs="Times New Roman"/>
                <w:b/>
                <w:bCs/>
                <w:color w:val="000000" w:themeColor="text1"/>
                <w:sz w:val="24"/>
                <w14:textFill>
                  <w14:solidFill>
                    <w14:schemeClr w14:val="tx1"/>
                  </w14:solidFill>
                </w14:textFill>
              </w:rPr>
              <w:t>风险物质</w:t>
            </w:r>
            <w:r>
              <w:rPr>
                <w:rFonts w:hint="default" w:ascii="Times New Roman" w:hAnsi="Times New Roman" w:eastAsia="宋体" w:cs="Times New Roman"/>
                <w:b/>
                <w:bCs/>
                <w:color w:val="000000" w:themeColor="text1"/>
                <w:sz w:val="24"/>
                <w:lang w:val="en-US" w:eastAsia="zh-CN"/>
                <w14:textFill>
                  <w14:solidFill>
                    <w14:schemeClr w14:val="tx1"/>
                  </w14:solidFill>
                </w14:textFill>
              </w:rPr>
              <w:t>和风险源分布情况</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color w:val="000000" w:themeColor="text1"/>
                <w:spacing w:val="0"/>
                <w:sz w:val="24"/>
                <w:u w:val="single" w:color="auto"/>
                <w:lang w:eastAsia="zh-CN"/>
                <w14:textFill>
                  <w14:solidFill>
                    <w14:schemeClr w14:val="tx1"/>
                  </w14:solidFill>
                </w14:textFill>
              </w:rPr>
            </w:pPr>
            <w:r>
              <w:rPr>
                <w:rFonts w:hint="eastAsia" w:ascii="Times New Roman" w:hAnsi="Times New Roman"/>
                <w:color w:val="000000" w:themeColor="text1"/>
                <w:spacing w:val="0"/>
                <w:sz w:val="24"/>
                <w:u w:val="single" w:color="auto"/>
                <w:lang w:val="en-US" w:eastAsia="zh-CN"/>
                <w14:textFill>
                  <w14:solidFill>
                    <w14:schemeClr w14:val="tx1"/>
                  </w14:solidFill>
                </w14:textFill>
              </w:rPr>
              <w:t>根据</w:t>
            </w:r>
            <w:r>
              <w:rPr>
                <w:rFonts w:hint="eastAsia" w:ascii="Times New Roman" w:hAnsi="Times New Roman"/>
                <w:color w:val="000000" w:themeColor="text1"/>
                <w:spacing w:val="0"/>
                <w:sz w:val="24"/>
                <w:u w:val="single" w:color="auto"/>
                <w14:textFill>
                  <w14:solidFill>
                    <w14:schemeClr w14:val="tx1"/>
                  </w14:solidFill>
                </w14:textFill>
              </w:rPr>
              <w:t>《建设项目环境风险评价技术导则》（HJ169-2018）附录</w:t>
            </w:r>
            <w:r>
              <w:rPr>
                <w:rFonts w:hint="eastAsia" w:ascii="Times New Roman" w:hAnsi="Times New Roman"/>
                <w:color w:val="000000" w:themeColor="text1"/>
                <w:spacing w:val="0"/>
                <w:sz w:val="24"/>
                <w:u w:val="single" w:color="auto"/>
                <w:lang w:val="en-US" w:eastAsia="zh-CN"/>
                <w14:textFill>
                  <w14:solidFill>
                    <w14:schemeClr w14:val="tx1"/>
                  </w14:solidFill>
                </w14:textFill>
              </w:rPr>
              <w:t>B，</w:t>
            </w:r>
            <w:r>
              <w:rPr>
                <w:rFonts w:ascii="Times New Roman" w:hAnsi="Times New Roman"/>
                <w:color w:val="000000" w:themeColor="text1"/>
                <w:spacing w:val="0"/>
                <w:sz w:val="24"/>
                <w:u w:val="single" w:color="auto"/>
                <w14:textFill>
                  <w14:solidFill>
                    <w14:schemeClr w14:val="tx1"/>
                  </w14:solidFill>
                </w14:textFill>
              </w:rPr>
              <w:t>本项目涉及到的危险物质主要为废矿物油</w:t>
            </w:r>
            <w:r>
              <w:rPr>
                <w:rFonts w:hint="eastAsia" w:ascii="Times New Roman" w:hAnsi="Times New Roman"/>
                <w:color w:val="000000" w:themeColor="text1"/>
                <w:spacing w:val="0"/>
                <w:sz w:val="24"/>
                <w:u w:val="single" w:color="auto"/>
                <w:lang w:eastAsia="zh-CN"/>
                <w14:textFill>
                  <w14:solidFill>
                    <w14:schemeClr w14:val="tx1"/>
                  </w14:solidFill>
                </w14:textFill>
              </w:rPr>
              <w:t>、</w:t>
            </w:r>
            <w:r>
              <w:rPr>
                <w:rFonts w:ascii="Times New Roman" w:hAnsi="Times New Roman"/>
                <w:color w:val="000000" w:themeColor="text1"/>
                <w:spacing w:val="0"/>
                <w:sz w:val="24"/>
                <w:u w:val="single" w:color="auto"/>
                <w14:textFill>
                  <w14:solidFill>
                    <w14:schemeClr w14:val="tx1"/>
                  </w14:solidFill>
                </w14:textFill>
              </w:rPr>
              <w:t>废铅蓄电池</w:t>
            </w:r>
            <w:r>
              <w:rPr>
                <w:rFonts w:hint="eastAsia" w:ascii="Times New Roman" w:hAnsi="Times New Roman"/>
                <w:color w:val="000000" w:themeColor="text1"/>
                <w:spacing w:val="0"/>
                <w:sz w:val="24"/>
                <w:u w:val="single" w:color="auto"/>
                <w:lang w:val="en-US" w:eastAsia="zh-CN"/>
                <w14:textFill>
                  <w14:solidFill>
                    <w14:schemeClr w14:val="tx1"/>
                  </w14:solidFill>
                </w14:textFill>
              </w:rPr>
              <w:t>内</w:t>
            </w:r>
            <w:r>
              <w:rPr>
                <w:rFonts w:ascii="Times New Roman" w:hAnsi="Times New Roman"/>
                <w:color w:val="000000" w:themeColor="text1"/>
                <w:spacing w:val="0"/>
                <w:sz w:val="24"/>
                <w:u w:val="single" w:color="auto"/>
                <w14:textFill>
                  <w14:solidFill>
                    <w14:schemeClr w14:val="tx1"/>
                  </w14:solidFill>
                </w14:textFill>
              </w:rPr>
              <w:t>电解液</w:t>
            </w:r>
            <w:r>
              <w:rPr>
                <w:rFonts w:hint="eastAsia" w:ascii="Times New Roman" w:hAnsi="Times New Roman"/>
                <w:color w:val="000000" w:themeColor="text1"/>
                <w:spacing w:val="0"/>
                <w:sz w:val="24"/>
                <w:u w:val="single" w:color="auto"/>
                <w:lang w:val="en-US" w:eastAsia="zh-CN"/>
                <w14:textFill>
                  <w14:solidFill>
                    <w14:schemeClr w14:val="tx1"/>
                  </w14:solidFill>
                </w14:textFill>
              </w:rPr>
              <w:t>，其中，油类物质临界量为2500t，硫酸临界量为10t</w:t>
            </w:r>
            <w:r>
              <w:rPr>
                <w:rFonts w:hint="eastAsia" w:ascii="Times New Roman" w:hAnsi="Times New Roman"/>
                <w:color w:val="000000" w:themeColor="text1"/>
                <w:spacing w:val="0"/>
                <w:sz w:val="24"/>
                <w:u w:val="single" w:color="auto"/>
                <w:lang w:eastAsia="zh-CN"/>
                <w14:textFill>
                  <w14:solidFill>
                    <w14:schemeClr w14:val="tx1"/>
                  </w14:solidFill>
                </w14:textFill>
              </w:rPr>
              <w:t>。</w:t>
            </w:r>
          </w:p>
          <w:p>
            <w:pPr>
              <w:keepNext w:val="0"/>
              <w:keepLines w:val="0"/>
              <w:pageBreakBefore w:val="0"/>
              <w:widowControl/>
              <w:kinsoku/>
              <w:wordWrap w:val="0"/>
              <w:overflowPunct/>
              <w:topLinePunct w:val="0"/>
              <w:autoSpaceDE/>
              <w:autoSpaceDN/>
              <w:bidi w:val="0"/>
              <w:adjustRightInd/>
              <w:snapToGrid/>
              <w:spacing w:line="500" w:lineRule="exact"/>
              <w:ind w:firstLine="480" w:firstLineChars="200"/>
              <w:textAlignment w:val="auto"/>
              <w:rPr>
                <w:rFonts w:hint="eastAsia" w:ascii="Times New Roman" w:hAnsi="Times New Roman"/>
                <w:color w:val="000000" w:themeColor="text1"/>
                <w:spacing w:val="0"/>
                <w:sz w:val="24"/>
                <w:u w:val="none" w:color="auto"/>
                <w:lang w:eastAsia="zh-CN"/>
                <w14:textFill>
                  <w14:solidFill>
                    <w14:schemeClr w14:val="tx1"/>
                  </w14:solidFill>
                </w14:textFill>
              </w:rPr>
            </w:pPr>
            <w:r>
              <w:rPr>
                <w:rFonts w:hint="eastAsia" w:ascii="Times New Roman" w:hAnsi="Times New Roman"/>
                <w:color w:val="000000" w:themeColor="text1"/>
                <w:spacing w:val="0"/>
                <w:sz w:val="24"/>
                <w:u w:val="single" w:color="auto"/>
                <w:lang w:val="en-US" w:eastAsia="zh-CN"/>
                <w14:textFill>
                  <w14:solidFill>
                    <w14:schemeClr w14:val="tx1"/>
                  </w14:solidFill>
                </w14:textFill>
              </w:rPr>
              <w:t>本项目</w:t>
            </w:r>
            <w:r>
              <w:rPr>
                <w:rFonts w:ascii="Times New Roman" w:hAnsi="Times New Roman"/>
                <w:color w:val="000000" w:themeColor="text1"/>
                <w:spacing w:val="0"/>
                <w:sz w:val="24"/>
                <w:u w:val="single" w:color="auto"/>
                <w14:textFill>
                  <w14:solidFill>
                    <w14:schemeClr w14:val="tx1"/>
                  </w14:solidFill>
                </w14:textFill>
              </w:rPr>
              <w:t>废矿物油最大贮存量为</w:t>
            </w:r>
            <w:r>
              <w:rPr>
                <w:rFonts w:ascii="Times New Roman" w:hAnsi="Times New Roman" w:eastAsia="Times New Roman" w:cs="Times New Roman"/>
                <w:color w:val="000000" w:themeColor="text1"/>
                <w:spacing w:val="0"/>
                <w:sz w:val="24"/>
                <w:u w:val="single" w:color="auto"/>
                <w14:textFill>
                  <w14:solidFill>
                    <w14:schemeClr w14:val="tx1"/>
                  </w14:solidFill>
                </w14:textFill>
              </w:rPr>
              <w:t>100t</w:t>
            </w:r>
            <w:r>
              <w:rPr>
                <w:rFonts w:ascii="Times New Roman" w:hAnsi="Times New Roman"/>
                <w:color w:val="000000" w:themeColor="text1"/>
                <w:spacing w:val="0"/>
                <w:sz w:val="24"/>
                <w:u w:val="single" w:color="auto"/>
                <w14:textFill>
                  <w14:solidFill>
                    <w14:schemeClr w14:val="tx1"/>
                  </w14:solidFill>
                </w14:textFill>
              </w:rPr>
              <w:t>，废铅蓄电池最大</w:t>
            </w:r>
            <w:r>
              <w:rPr>
                <w:rFonts w:hint="eastAsia" w:ascii="Times New Roman" w:hAnsi="Times New Roman"/>
                <w:color w:val="000000" w:themeColor="text1"/>
                <w:spacing w:val="0"/>
                <w:sz w:val="24"/>
                <w:u w:val="single" w:color="auto"/>
                <w:lang w:val="en-US" w:eastAsia="zh-CN"/>
                <w14:textFill>
                  <w14:solidFill>
                    <w14:schemeClr w14:val="tx1"/>
                  </w14:solidFill>
                </w14:textFill>
              </w:rPr>
              <w:t>贮</w:t>
            </w:r>
            <w:r>
              <w:rPr>
                <w:rFonts w:ascii="Times New Roman" w:hAnsi="Times New Roman"/>
                <w:color w:val="000000" w:themeColor="text1"/>
                <w:spacing w:val="0"/>
                <w:sz w:val="24"/>
                <w:u w:val="single" w:color="auto"/>
                <w14:textFill>
                  <w14:solidFill>
                    <w14:schemeClr w14:val="tx1"/>
                  </w14:solidFill>
                </w14:textFill>
              </w:rPr>
              <w:t>存量</w:t>
            </w:r>
            <w:r>
              <w:rPr>
                <w:rFonts w:hint="eastAsia" w:ascii="Times New Roman" w:hAnsi="Times New Roman"/>
                <w:color w:val="000000" w:themeColor="text1"/>
                <w:spacing w:val="0"/>
                <w:sz w:val="24"/>
                <w:u w:val="single" w:color="auto"/>
                <w:lang w:val="en-US" w:eastAsia="zh-CN"/>
                <w14:textFill>
                  <w14:solidFill>
                    <w14:schemeClr w14:val="tx1"/>
                  </w14:solidFill>
                </w14:textFill>
              </w:rPr>
              <w:t>30</w:t>
            </w:r>
            <w:r>
              <w:rPr>
                <w:rFonts w:ascii="Times New Roman" w:hAnsi="Times New Roman" w:eastAsia="Times New Roman" w:cs="Times New Roman"/>
                <w:color w:val="000000" w:themeColor="text1"/>
                <w:spacing w:val="0"/>
                <w:sz w:val="24"/>
                <w:u w:val="single" w:color="auto"/>
                <w14:textFill>
                  <w14:solidFill>
                    <w14:schemeClr w14:val="tx1"/>
                  </w14:solidFill>
                </w14:textFill>
              </w:rPr>
              <w:t>0t</w:t>
            </w:r>
            <w:r>
              <w:rPr>
                <w:rFonts w:hint="eastAsia" w:eastAsia="宋体" w:cs="Times New Roman"/>
                <w:color w:val="000000" w:themeColor="text1"/>
                <w:spacing w:val="0"/>
                <w:sz w:val="24"/>
                <w:u w:val="single" w:color="auto"/>
                <w:lang w:eastAsia="zh-CN"/>
                <w14:textFill>
                  <w14:solidFill>
                    <w14:schemeClr w14:val="tx1"/>
                  </w14:solidFill>
                </w14:textFill>
              </w:rPr>
              <w:t>。</w:t>
            </w:r>
            <w:r>
              <w:rPr>
                <w:rFonts w:hint="eastAsia"/>
                <w:color w:val="000000" w:themeColor="text1"/>
                <w:spacing w:val="0"/>
                <w:sz w:val="24"/>
                <w:u w:val="single" w:color="auto"/>
                <w:lang w:val="en-US" w:eastAsia="zh-CN"/>
                <w14:textFill>
                  <w14:solidFill>
                    <w14:schemeClr w14:val="tx1"/>
                  </w14:solidFill>
                </w14:textFill>
              </w:rPr>
              <w:t>其中</w:t>
            </w:r>
            <w:r>
              <w:rPr>
                <w:rFonts w:hint="eastAsia" w:ascii="Times New Roman" w:hAnsi="Times New Roman"/>
                <w:color w:val="000000" w:themeColor="text1"/>
                <w:spacing w:val="0"/>
                <w:sz w:val="24"/>
                <w:u w:val="single" w:color="auto"/>
                <w:lang w:val="en-US" w:eastAsia="zh-CN"/>
                <w14:textFill>
                  <w14:solidFill>
                    <w14:schemeClr w14:val="tx1"/>
                  </w14:solidFill>
                </w14:textFill>
              </w:rPr>
              <w:t>，</w:t>
            </w:r>
            <w:r>
              <w:rPr>
                <w:rFonts w:ascii="Times New Roman" w:hAnsi="Times New Roman"/>
                <w:color w:val="000000" w:themeColor="text1"/>
                <w:spacing w:val="0"/>
                <w:sz w:val="24"/>
                <w:u w:val="single" w:color="auto"/>
                <w14:textFill>
                  <w14:solidFill>
                    <w14:schemeClr w14:val="tx1"/>
                  </w14:solidFill>
                </w14:textFill>
              </w:rPr>
              <w:t>废铅蓄电池</w:t>
            </w:r>
            <w:r>
              <w:rPr>
                <w:rFonts w:hint="eastAsia" w:ascii="Times New Roman" w:hAnsi="Times New Roman"/>
                <w:color w:val="000000" w:themeColor="text1"/>
                <w:spacing w:val="0"/>
                <w:sz w:val="24"/>
                <w:u w:val="single" w:color="auto"/>
                <w:lang w:val="en-US" w:eastAsia="zh-CN"/>
                <w14:textFill>
                  <w14:solidFill>
                    <w14:schemeClr w14:val="tx1"/>
                  </w14:solidFill>
                </w14:textFill>
              </w:rPr>
              <w:t>电解液</w:t>
            </w:r>
            <w:r>
              <w:rPr>
                <w:rFonts w:hint="eastAsia"/>
                <w:color w:val="000000" w:themeColor="text1"/>
                <w:spacing w:val="0"/>
                <w:sz w:val="24"/>
                <w:u w:val="single" w:color="auto"/>
                <w:lang w:val="en-US" w:eastAsia="zh-CN"/>
                <w14:textFill>
                  <w14:solidFill>
                    <w14:schemeClr w14:val="tx1"/>
                  </w14:solidFill>
                </w14:textFill>
              </w:rPr>
              <w:t>占整个电池重量按</w:t>
            </w:r>
            <w:r>
              <w:rPr>
                <w:rFonts w:hint="eastAsia" w:cs="Times New Roman"/>
                <w:color w:val="000000" w:themeColor="text1"/>
                <w:spacing w:val="0"/>
                <w:sz w:val="24"/>
                <w:u w:val="single" w:color="auto"/>
                <w:lang w:val="en-US" w:eastAsia="zh-CN"/>
                <w14:textFill>
                  <w14:solidFill>
                    <w14:schemeClr w14:val="tx1"/>
                  </w14:solidFill>
                </w14:textFill>
              </w:rPr>
              <w:t>7</w:t>
            </w:r>
            <w:r>
              <w:rPr>
                <w:rFonts w:ascii="Times New Roman" w:hAnsi="Times New Roman" w:eastAsia="Times New Roman" w:cs="Times New Roman"/>
                <w:color w:val="000000" w:themeColor="text1"/>
                <w:spacing w:val="0"/>
                <w:sz w:val="24"/>
                <w:u w:val="single" w:color="auto"/>
                <w14:textFill>
                  <w14:solidFill>
                    <w14:schemeClr w14:val="tx1"/>
                  </w14:solidFill>
                </w14:textFill>
              </w:rPr>
              <w:t>%</w:t>
            </w:r>
            <w:r>
              <w:rPr>
                <w:rFonts w:hint="eastAsia" w:eastAsia="宋体" w:cs="Times New Roman"/>
                <w:color w:val="000000" w:themeColor="text1"/>
                <w:spacing w:val="0"/>
                <w:sz w:val="24"/>
                <w:u w:val="single" w:color="auto"/>
                <w:lang w:val="en-US" w:eastAsia="zh-CN"/>
                <w14:textFill>
                  <w14:solidFill>
                    <w14:schemeClr w14:val="tx1"/>
                  </w14:solidFill>
                </w14:textFill>
              </w:rPr>
              <w:t>计，</w:t>
            </w:r>
            <w:r>
              <w:rPr>
                <w:rFonts w:hint="eastAsia" w:ascii="Times New Roman" w:hAnsi="Times New Roman" w:eastAsia="宋体" w:cs="Times New Roman"/>
                <w:color w:val="000000" w:themeColor="text1"/>
                <w:spacing w:val="0"/>
                <w:sz w:val="24"/>
                <w:u w:val="single" w:color="auto"/>
                <w:lang w:val="en-US" w:eastAsia="zh-CN"/>
                <w14:textFill>
                  <w14:solidFill>
                    <w14:schemeClr w14:val="tx1"/>
                  </w14:solidFill>
                </w14:textFill>
              </w:rPr>
              <w:t>硫酸</w:t>
            </w:r>
            <w:r>
              <w:rPr>
                <w:rFonts w:hint="eastAsia" w:cs="Times New Roman"/>
                <w:color w:val="000000" w:themeColor="text1"/>
                <w:spacing w:val="0"/>
                <w:sz w:val="24"/>
                <w:u w:val="single" w:color="auto"/>
                <w:lang w:val="en-US" w:eastAsia="zh-CN"/>
                <w14:textFill>
                  <w14:solidFill>
                    <w14:schemeClr w14:val="tx1"/>
                  </w14:solidFill>
                </w14:textFill>
              </w:rPr>
              <w:t>浓度按30%计，则</w:t>
            </w:r>
            <w:r>
              <w:rPr>
                <w:rFonts w:ascii="Times New Roman" w:hAnsi="Times New Roman"/>
                <w:color w:val="000000" w:themeColor="text1"/>
                <w:spacing w:val="0"/>
                <w:sz w:val="24"/>
                <w:u w:val="single" w:color="auto"/>
                <w14:textFill>
                  <w14:solidFill>
                    <w14:schemeClr w14:val="tx1"/>
                  </w14:solidFill>
                </w14:textFill>
              </w:rPr>
              <w:t>电解液量为</w:t>
            </w:r>
            <w:r>
              <w:rPr>
                <w:rFonts w:hint="eastAsia"/>
                <w:color w:val="000000" w:themeColor="text1"/>
                <w:spacing w:val="0"/>
                <w:sz w:val="24"/>
                <w:u w:val="single" w:color="auto"/>
                <w:lang w:val="en-US" w:eastAsia="zh-CN"/>
                <w14:textFill>
                  <w14:solidFill>
                    <w14:schemeClr w14:val="tx1"/>
                  </w14:solidFill>
                </w14:textFill>
              </w:rPr>
              <w:t>21</w:t>
            </w:r>
            <w:r>
              <w:rPr>
                <w:rFonts w:ascii="Times New Roman" w:hAnsi="Times New Roman" w:eastAsia="Times New Roman" w:cs="Times New Roman"/>
                <w:color w:val="000000" w:themeColor="text1"/>
                <w:spacing w:val="0"/>
                <w:sz w:val="24"/>
                <w:u w:val="single" w:color="auto"/>
                <w14:textFill>
                  <w14:solidFill>
                    <w14:schemeClr w14:val="tx1"/>
                  </w14:solidFill>
                </w14:textFill>
              </w:rPr>
              <w:t>t</w:t>
            </w:r>
            <w:r>
              <w:rPr>
                <w:rFonts w:hint="eastAsia" w:ascii="Times New Roman" w:hAnsi="Times New Roman" w:eastAsia="宋体" w:cs="Times New Roman"/>
                <w:color w:val="000000" w:themeColor="text1"/>
                <w:spacing w:val="0"/>
                <w:sz w:val="24"/>
                <w:u w:val="single" w:color="auto"/>
                <w:lang w:eastAsia="zh-CN"/>
                <w14:textFill>
                  <w14:solidFill>
                    <w14:schemeClr w14:val="tx1"/>
                  </w14:solidFill>
                </w14:textFill>
              </w:rPr>
              <w:t>，</w:t>
            </w:r>
            <w:r>
              <w:rPr>
                <w:rFonts w:hint="eastAsia" w:ascii="Times New Roman" w:hAnsi="Times New Roman" w:eastAsia="宋体" w:cs="Times New Roman"/>
                <w:color w:val="000000" w:themeColor="text1"/>
                <w:spacing w:val="0"/>
                <w:sz w:val="24"/>
                <w:u w:val="single" w:color="auto"/>
                <w:lang w:val="en-US" w:eastAsia="zh-CN"/>
                <w14:textFill>
                  <w14:solidFill>
                    <w14:schemeClr w14:val="tx1"/>
                  </w14:solidFill>
                </w14:textFill>
              </w:rPr>
              <w:t>硫酸折算量为</w:t>
            </w:r>
            <w:r>
              <w:rPr>
                <w:rFonts w:hint="eastAsia" w:cs="Times New Roman"/>
                <w:color w:val="000000" w:themeColor="text1"/>
                <w:spacing w:val="0"/>
                <w:sz w:val="24"/>
                <w:u w:val="single" w:color="auto"/>
                <w:lang w:val="en-US" w:eastAsia="zh-CN"/>
                <w14:textFill>
                  <w14:solidFill>
                    <w14:schemeClr w14:val="tx1"/>
                  </w14:solidFill>
                </w14:textFill>
              </w:rPr>
              <w:t>6.3</w:t>
            </w:r>
            <w:r>
              <w:rPr>
                <w:rFonts w:hint="eastAsia" w:ascii="Times New Roman" w:hAnsi="Times New Roman" w:eastAsia="宋体" w:cs="Times New Roman"/>
                <w:color w:val="000000" w:themeColor="text1"/>
                <w:spacing w:val="0"/>
                <w:sz w:val="24"/>
                <w:u w:val="single" w:color="auto"/>
                <w:lang w:val="en-US" w:eastAsia="zh-CN"/>
                <w14:textFill>
                  <w14:solidFill>
                    <w14:schemeClr w14:val="tx1"/>
                  </w14:solidFill>
                </w14:textFill>
              </w:rPr>
              <w:t>t</w:t>
            </w:r>
            <w:r>
              <w:rPr>
                <w:rFonts w:ascii="Times New Roman" w:hAnsi="Times New Roman"/>
                <w:color w:val="000000" w:themeColor="text1"/>
                <w:spacing w:val="0"/>
                <w:sz w:val="24"/>
                <w:u w:val="none" w:color="auto"/>
                <w14:textFill>
                  <w14:solidFill>
                    <w14:schemeClr w14:val="tx1"/>
                  </w14:solidFill>
                </w14:textFill>
              </w:rPr>
              <w:t>。</w:t>
            </w:r>
            <w:r>
              <w:rPr>
                <w:rFonts w:ascii="Times New Roman" w:hAnsi="Times New Roman"/>
                <w:color w:val="000000" w:themeColor="text1"/>
                <w:spacing w:val="0"/>
                <w:sz w:val="24"/>
                <w:u w:val="single" w:color="auto"/>
                <w14:textFill>
                  <w14:solidFill>
                    <w14:schemeClr w14:val="tx1"/>
                  </w14:solidFill>
                </w14:textFill>
              </w:rPr>
              <w:t>经计算，</w:t>
            </w:r>
            <w:r>
              <w:rPr>
                <w:rFonts w:ascii="Times New Roman" w:hAnsi="Times New Roman" w:eastAsia="Times New Roman" w:cs="Times New Roman"/>
                <w:color w:val="000000" w:themeColor="text1"/>
                <w:spacing w:val="0"/>
                <w:sz w:val="24"/>
                <w:u w:val="single" w:color="auto"/>
                <w14:textFill>
                  <w14:solidFill>
                    <w14:schemeClr w14:val="tx1"/>
                  </w14:solidFill>
                </w14:textFill>
              </w:rPr>
              <w:t>Q</w:t>
            </w:r>
            <w:r>
              <w:rPr>
                <w:rFonts w:hint="eastAsia" w:ascii="Times New Roman" w:hAnsi="Times New Roman" w:eastAsia="宋体" w:cs="Times New Roman"/>
                <w:color w:val="000000" w:themeColor="text1"/>
                <w:spacing w:val="0"/>
                <w:sz w:val="24"/>
                <w:u w:val="single" w:color="auto"/>
                <w:vertAlign w:val="subscript"/>
                <w:lang w:val="en-US" w:eastAsia="zh-CN"/>
                <w14:textFill>
                  <w14:solidFill>
                    <w14:schemeClr w14:val="tx1"/>
                  </w14:solidFill>
                </w14:textFill>
              </w:rPr>
              <w:t>油类物质</w:t>
            </w:r>
            <w:r>
              <w:rPr>
                <w:rFonts w:ascii="Times New Roman" w:hAnsi="Times New Roman" w:eastAsia="Times New Roman" w:cs="Times New Roman"/>
                <w:color w:val="000000" w:themeColor="text1"/>
                <w:spacing w:val="0"/>
                <w:sz w:val="24"/>
                <w:u w:val="single" w:color="auto"/>
                <w14:textFill>
                  <w14:solidFill>
                    <w14:schemeClr w14:val="tx1"/>
                  </w14:solidFill>
                </w14:textFill>
              </w:rPr>
              <w:t>=100/2500=0.</w:t>
            </w:r>
            <w:r>
              <w:rPr>
                <w:rFonts w:hint="eastAsia" w:ascii="Times New Roman" w:hAnsi="Times New Roman" w:eastAsia="宋体" w:cs="Times New Roman"/>
                <w:color w:val="000000" w:themeColor="text1"/>
                <w:spacing w:val="0"/>
                <w:sz w:val="24"/>
                <w:u w:val="single" w:color="auto"/>
                <w:lang w:val="en-US" w:eastAsia="zh-CN"/>
                <w14:textFill>
                  <w14:solidFill>
                    <w14:schemeClr w14:val="tx1"/>
                  </w14:solidFill>
                </w14:textFill>
              </w:rPr>
              <w:t>04</w:t>
            </w:r>
            <w:r>
              <w:rPr>
                <w:rFonts w:hint="eastAsia" w:ascii="Times New Roman" w:hAnsi="Times New Roman" w:eastAsia="宋体" w:cs="Times New Roman"/>
                <w:color w:val="000000" w:themeColor="text1"/>
                <w:spacing w:val="0"/>
                <w:sz w:val="24"/>
                <w:u w:val="single" w:color="auto"/>
                <w:lang w:eastAsia="zh-CN"/>
                <w14:textFill>
                  <w14:solidFill>
                    <w14:schemeClr w14:val="tx1"/>
                  </w14:solidFill>
                </w14:textFill>
              </w:rPr>
              <w:t>，</w:t>
            </w:r>
            <w:r>
              <w:rPr>
                <w:rFonts w:ascii="Times New Roman" w:hAnsi="Times New Roman" w:eastAsia="Times New Roman" w:cs="Times New Roman"/>
                <w:color w:val="000000" w:themeColor="text1"/>
                <w:spacing w:val="0"/>
                <w:sz w:val="24"/>
                <w:u w:val="single" w:color="auto"/>
                <w14:textFill>
                  <w14:solidFill>
                    <w14:schemeClr w14:val="tx1"/>
                  </w14:solidFill>
                </w14:textFill>
              </w:rPr>
              <w:t>Q</w:t>
            </w:r>
            <w:r>
              <w:rPr>
                <w:rFonts w:hint="eastAsia" w:ascii="Times New Roman" w:hAnsi="Times New Roman" w:cs="Times New Roman"/>
                <w:color w:val="000000" w:themeColor="text1"/>
                <w:spacing w:val="0"/>
                <w:sz w:val="24"/>
                <w:u w:val="single" w:color="auto"/>
                <w:vertAlign w:val="subscript"/>
                <w:lang w:val="en-US" w:eastAsia="zh-CN"/>
                <w14:textFill>
                  <w14:solidFill>
                    <w14:schemeClr w14:val="tx1"/>
                  </w14:solidFill>
                </w14:textFill>
              </w:rPr>
              <w:t>硫酸</w:t>
            </w:r>
            <w:r>
              <w:rPr>
                <w:rFonts w:ascii="Times New Roman" w:hAnsi="Times New Roman" w:eastAsia="Times New Roman" w:cs="Times New Roman"/>
                <w:color w:val="000000" w:themeColor="text1"/>
                <w:spacing w:val="0"/>
                <w:sz w:val="24"/>
                <w:u w:val="single" w:color="auto"/>
                <w14:textFill>
                  <w14:solidFill>
                    <w14:schemeClr w14:val="tx1"/>
                  </w14:solidFill>
                </w14:textFill>
              </w:rPr>
              <w:t>=</w:t>
            </w:r>
            <w:r>
              <w:rPr>
                <w:rFonts w:hint="eastAsia" w:cs="Times New Roman"/>
                <w:color w:val="000000" w:themeColor="text1"/>
                <w:spacing w:val="0"/>
                <w:sz w:val="24"/>
                <w:u w:val="single" w:color="auto"/>
                <w:lang w:val="en-US" w:eastAsia="zh-CN"/>
                <w14:textFill>
                  <w14:solidFill>
                    <w14:schemeClr w14:val="tx1"/>
                  </w14:solidFill>
                </w14:textFill>
              </w:rPr>
              <w:t>6.3</w:t>
            </w:r>
            <w:r>
              <w:rPr>
                <w:rFonts w:ascii="Times New Roman" w:hAnsi="Times New Roman" w:eastAsia="Times New Roman" w:cs="Times New Roman"/>
                <w:color w:val="000000" w:themeColor="text1"/>
                <w:spacing w:val="0"/>
                <w:sz w:val="24"/>
                <w:u w:val="single" w:color="auto"/>
                <w14:textFill>
                  <w14:solidFill>
                    <w14:schemeClr w14:val="tx1"/>
                  </w14:solidFill>
                </w14:textFill>
              </w:rPr>
              <w:t>/</w:t>
            </w:r>
            <w:r>
              <w:rPr>
                <w:rFonts w:hint="eastAsia" w:ascii="Times New Roman" w:hAnsi="Times New Roman" w:eastAsia="宋体" w:cs="Times New Roman"/>
                <w:color w:val="000000" w:themeColor="text1"/>
                <w:spacing w:val="0"/>
                <w:sz w:val="24"/>
                <w:u w:val="single" w:color="auto"/>
                <w:lang w:val="en-US" w:eastAsia="zh-CN"/>
                <w14:textFill>
                  <w14:solidFill>
                    <w14:schemeClr w14:val="tx1"/>
                  </w14:solidFill>
                </w14:textFill>
              </w:rPr>
              <w:t>1</w:t>
            </w:r>
            <w:r>
              <w:rPr>
                <w:rFonts w:ascii="Times New Roman" w:hAnsi="Times New Roman" w:eastAsia="Times New Roman" w:cs="Times New Roman"/>
                <w:color w:val="000000" w:themeColor="text1"/>
                <w:spacing w:val="0"/>
                <w:sz w:val="24"/>
                <w:u w:val="single" w:color="auto"/>
                <w14:textFill>
                  <w14:solidFill>
                    <w14:schemeClr w14:val="tx1"/>
                  </w14:solidFill>
                </w14:textFill>
              </w:rPr>
              <w:t>0=0.</w:t>
            </w:r>
            <w:r>
              <w:rPr>
                <w:rFonts w:hint="eastAsia" w:cs="Times New Roman"/>
                <w:color w:val="000000" w:themeColor="text1"/>
                <w:spacing w:val="0"/>
                <w:sz w:val="24"/>
                <w:u w:val="single" w:color="auto"/>
                <w:lang w:val="en-US" w:eastAsia="zh-CN"/>
                <w14:textFill>
                  <w14:solidFill>
                    <w14:schemeClr w14:val="tx1"/>
                  </w14:solidFill>
                </w14:textFill>
              </w:rPr>
              <w:t>63</w:t>
            </w:r>
            <w:r>
              <w:rPr>
                <w:rFonts w:hint="eastAsia" w:ascii="Times New Roman" w:hAnsi="Times New Roman" w:eastAsia="宋体" w:cs="Times New Roman"/>
                <w:color w:val="000000" w:themeColor="text1"/>
                <w:spacing w:val="0"/>
                <w:sz w:val="24"/>
                <w:u w:val="single" w:color="auto"/>
                <w:lang w:val="en-US" w:eastAsia="zh-CN"/>
                <w14:textFill>
                  <w14:solidFill>
                    <w14:schemeClr w14:val="tx1"/>
                  </w14:solidFill>
                </w14:textFill>
              </w:rPr>
              <w:t>，Q=</w:t>
            </w:r>
            <w:r>
              <w:rPr>
                <w:rFonts w:ascii="Times New Roman" w:hAnsi="Times New Roman" w:eastAsia="Times New Roman" w:cs="Times New Roman"/>
                <w:color w:val="000000" w:themeColor="text1"/>
                <w:spacing w:val="0"/>
                <w:sz w:val="24"/>
                <w:u w:val="single" w:color="auto"/>
                <w14:textFill>
                  <w14:solidFill>
                    <w14:schemeClr w14:val="tx1"/>
                  </w14:solidFill>
                </w14:textFill>
              </w:rPr>
              <w:t>Q</w:t>
            </w:r>
            <w:r>
              <w:rPr>
                <w:rFonts w:hint="eastAsia" w:ascii="Times New Roman" w:hAnsi="Times New Roman" w:eastAsia="宋体" w:cs="Times New Roman"/>
                <w:color w:val="000000" w:themeColor="text1"/>
                <w:spacing w:val="0"/>
                <w:sz w:val="24"/>
                <w:u w:val="single" w:color="auto"/>
                <w:vertAlign w:val="subscript"/>
                <w:lang w:val="en-US" w:eastAsia="zh-CN"/>
                <w14:textFill>
                  <w14:solidFill>
                    <w14:schemeClr w14:val="tx1"/>
                  </w14:solidFill>
                </w14:textFill>
              </w:rPr>
              <w:t>油类物质</w:t>
            </w:r>
            <w:r>
              <w:rPr>
                <w:rFonts w:hint="eastAsia" w:ascii="Times New Roman" w:hAnsi="Times New Roman" w:eastAsia="宋体" w:cs="Times New Roman"/>
                <w:color w:val="000000" w:themeColor="text1"/>
                <w:spacing w:val="0"/>
                <w:sz w:val="24"/>
                <w:u w:val="single" w:color="auto"/>
                <w:lang w:val="en-US" w:eastAsia="zh-CN"/>
                <w14:textFill>
                  <w14:solidFill>
                    <w14:schemeClr w14:val="tx1"/>
                  </w14:solidFill>
                </w14:textFill>
              </w:rPr>
              <w:t>+</w:t>
            </w:r>
            <w:r>
              <w:rPr>
                <w:rFonts w:ascii="Times New Roman" w:hAnsi="Times New Roman" w:eastAsia="Times New Roman" w:cs="Times New Roman"/>
                <w:color w:val="000000" w:themeColor="text1"/>
                <w:spacing w:val="0"/>
                <w:sz w:val="24"/>
                <w:u w:val="single" w:color="auto"/>
                <w14:textFill>
                  <w14:solidFill>
                    <w14:schemeClr w14:val="tx1"/>
                  </w14:solidFill>
                </w14:textFill>
              </w:rPr>
              <w:t>Q</w:t>
            </w:r>
            <w:r>
              <w:rPr>
                <w:rFonts w:hint="eastAsia" w:ascii="Times New Roman" w:hAnsi="Times New Roman" w:cs="Times New Roman"/>
                <w:color w:val="000000" w:themeColor="text1"/>
                <w:spacing w:val="0"/>
                <w:sz w:val="24"/>
                <w:u w:val="single" w:color="auto"/>
                <w:vertAlign w:val="subscript"/>
                <w:lang w:val="en-US" w:eastAsia="zh-CN"/>
                <w14:textFill>
                  <w14:solidFill>
                    <w14:schemeClr w14:val="tx1"/>
                  </w14:solidFill>
                </w14:textFill>
              </w:rPr>
              <w:t>硫酸</w:t>
            </w:r>
            <w:r>
              <w:rPr>
                <w:rFonts w:hint="eastAsia" w:ascii="Times New Roman" w:hAnsi="Times New Roman" w:cs="Times New Roman"/>
                <w:color w:val="000000" w:themeColor="text1"/>
                <w:spacing w:val="0"/>
                <w:sz w:val="24"/>
                <w:u w:val="single" w:color="auto"/>
                <w:vertAlign w:val="baseline"/>
                <w:lang w:val="en-US" w:eastAsia="zh-CN"/>
                <w14:textFill>
                  <w14:solidFill>
                    <w14:schemeClr w14:val="tx1"/>
                  </w14:solidFill>
                </w14:textFill>
              </w:rPr>
              <w:t>=0.</w:t>
            </w:r>
            <w:r>
              <w:rPr>
                <w:rFonts w:hint="eastAsia" w:cs="Times New Roman"/>
                <w:color w:val="000000" w:themeColor="text1"/>
                <w:spacing w:val="0"/>
                <w:sz w:val="24"/>
                <w:u w:val="single" w:color="auto"/>
                <w:vertAlign w:val="baseline"/>
                <w:lang w:val="en-US" w:eastAsia="zh-CN"/>
                <w14:textFill>
                  <w14:solidFill>
                    <w14:schemeClr w14:val="tx1"/>
                  </w14:solidFill>
                </w14:textFill>
              </w:rPr>
              <w:t>67</w:t>
            </w:r>
            <w:r>
              <w:rPr>
                <w:rFonts w:ascii="Times New Roman" w:hAnsi="Times New Roman" w:eastAsia="Times New Roman" w:cs="Times New Roman"/>
                <w:color w:val="000000" w:themeColor="text1"/>
                <w:spacing w:val="0"/>
                <w:sz w:val="24"/>
                <w:u w:val="single" w:color="auto"/>
                <w14:textFill>
                  <w14:solidFill>
                    <w14:schemeClr w14:val="tx1"/>
                  </w14:solidFill>
                </w14:textFill>
              </w:rPr>
              <w:t>&lt;1</w:t>
            </w:r>
            <w:r>
              <w:rPr>
                <w:rFonts w:ascii="Times New Roman" w:hAnsi="Times New Roman"/>
                <w:color w:val="000000" w:themeColor="text1"/>
                <w:spacing w:val="0"/>
                <w:sz w:val="24"/>
                <w:u w:val="none" w:color="auto"/>
                <w14:textFill>
                  <w14:solidFill>
                    <w14:schemeClr w14:val="tx1"/>
                  </w14:solidFill>
                </w14:textFill>
              </w:rPr>
              <w:t>。</w:t>
            </w:r>
            <w:r>
              <w:rPr>
                <w:rFonts w:hint="eastAsia" w:ascii="Times New Roman" w:hAnsi="Times New Roman"/>
                <w:color w:val="000000" w:themeColor="text1"/>
                <w:spacing w:val="0"/>
                <w:sz w:val="24"/>
                <w:u w:val="none" w:color="auto"/>
                <w14:textFill>
                  <w14:solidFill>
                    <w14:schemeClr w14:val="tx1"/>
                  </w14:solidFill>
                </w14:textFill>
              </w:rPr>
              <w:t>根据《建设项目环境风险评价技术导则》（HJ169-2018）附录C知“当Q＜1时，该项目风险潜势为Ⅰ”，故确定本项目风险潜势为Ⅰ，项目环境风险评价工作等级为简单分析</w:t>
            </w:r>
            <w:r>
              <w:rPr>
                <w:rFonts w:hint="eastAsia" w:ascii="Times New Roman" w:hAnsi="Times New Roman"/>
                <w:color w:val="000000" w:themeColor="text1"/>
                <w:spacing w:val="0"/>
                <w:sz w:val="24"/>
                <w:u w:val="none" w:color="auto"/>
                <w:lang w:eastAsia="zh-CN"/>
                <w14:textFill>
                  <w14:solidFill>
                    <w14:schemeClr w14:val="tx1"/>
                  </w14:solidFill>
                </w14:textFill>
              </w:rPr>
              <w:t>。</w:t>
            </w:r>
          </w:p>
          <w:p>
            <w:pPr>
              <w:keepLines w:val="0"/>
              <w:pageBreakBefore w:val="0"/>
              <w:kinsoku/>
              <w:wordWrap w:val="0"/>
              <w:topLinePunct w:val="0"/>
              <w:bidi w:val="0"/>
              <w:spacing w:line="520" w:lineRule="exact"/>
              <w:rPr>
                <w:rFonts w:hint="default" w:ascii="Times New Roman" w:hAnsi="Times New Roman" w:eastAsia="宋体"/>
                <w:b/>
                <w:bCs/>
                <w:color w:val="000000" w:themeColor="text1"/>
                <w:sz w:val="24"/>
                <w:u w:val="single"/>
                <w:lang w:val="en-US" w:eastAsia="zh-CN"/>
                <w14:textFill>
                  <w14:solidFill>
                    <w14:schemeClr w14:val="tx1"/>
                  </w14:solidFill>
                </w14:textFill>
              </w:rPr>
            </w:pPr>
            <w:r>
              <w:rPr>
                <w:rFonts w:hint="eastAsia" w:ascii="Times New Roman" w:hAnsi="Times New Roman"/>
                <w:b/>
                <w:bCs/>
                <w:color w:val="000000" w:themeColor="text1"/>
                <w:sz w:val="24"/>
                <w:u w:val="single"/>
                <w:lang w:val="en-US" w:eastAsia="zh-CN"/>
                <w14:textFill>
                  <w14:solidFill>
                    <w14:schemeClr w14:val="tx1"/>
                  </w14:solidFill>
                </w14:textFill>
              </w:rPr>
              <w:t xml:space="preserve">4.6.2 </w:t>
            </w:r>
            <w:r>
              <w:rPr>
                <w:rFonts w:hint="eastAsia"/>
                <w:b/>
                <w:bCs/>
                <w:color w:val="000000" w:themeColor="text1"/>
                <w:sz w:val="24"/>
                <w:u w:val="single"/>
                <w:lang w:val="en-US" w:eastAsia="zh-CN"/>
                <w14:textFill>
                  <w14:solidFill>
                    <w14:schemeClr w14:val="tx1"/>
                  </w14:solidFill>
                </w14:textFill>
              </w:rPr>
              <w:t>环境风险物质的影响途径</w:t>
            </w:r>
          </w:p>
          <w:p>
            <w:pPr>
              <w:keepNext w:val="0"/>
              <w:keepLines w:val="0"/>
              <w:pageBreakBefore w:val="0"/>
              <w:widowControl/>
              <w:suppressLineNumbers w:val="0"/>
              <w:kinsoku/>
              <w:wordWrap w:val="0"/>
              <w:overflowPunct/>
              <w:topLinePunct w:val="0"/>
              <w:autoSpaceDE/>
              <w:autoSpaceDN/>
              <w:bidi w:val="0"/>
              <w:adjustRightInd/>
              <w:snapToGrid/>
              <w:spacing w:line="500" w:lineRule="exact"/>
              <w:ind w:firstLine="480" w:firstLineChars="200"/>
              <w:jc w:val="left"/>
              <w:textAlignment w:val="auto"/>
              <w:rPr>
                <w:rFonts w:hint="default" w:ascii="Times New Roman" w:hAnsi="Times New Roman" w:eastAsia="宋体" w:cs="Times New Roman"/>
                <w:b w:val="0"/>
                <w:bCs w:val="0"/>
                <w:color w:val="000000" w:themeColor="text1"/>
                <w:sz w:val="24"/>
                <w:szCs w:val="24"/>
                <w:u w:val="single"/>
                <w14:textFill>
                  <w14:solidFill>
                    <w14:schemeClr w14:val="tx1"/>
                  </w14:solidFill>
                </w14:textFill>
              </w:rPr>
            </w:pPr>
            <w:r>
              <w:rPr>
                <w:rFonts w:hint="default" w:ascii="Times New Roman" w:hAnsi="Times New Roman" w:eastAsia="宋体" w:cs="Times New Roman"/>
                <w:b w:val="0"/>
                <w:bCs w:val="0"/>
                <w:color w:val="000000" w:themeColor="text1"/>
                <w:kern w:val="0"/>
                <w:sz w:val="24"/>
                <w:szCs w:val="24"/>
                <w:u w:val="single"/>
                <w:lang w:val="en-US" w:eastAsia="zh-CN" w:bidi="ar"/>
                <w14:textFill>
                  <w14:solidFill>
                    <w14:schemeClr w14:val="tx1"/>
                  </w14:solidFill>
                </w14:textFill>
              </w:rPr>
              <w:t>本项目的风险物质分布情况及可能影响途径，见</w:t>
            </w:r>
            <w:r>
              <w:rPr>
                <w:rFonts w:hint="eastAsia" w:cs="Times New Roman"/>
                <w:b w:val="0"/>
                <w:bCs w:val="0"/>
                <w:color w:val="000000" w:themeColor="text1"/>
                <w:kern w:val="0"/>
                <w:sz w:val="24"/>
                <w:szCs w:val="24"/>
                <w:u w:val="single"/>
                <w:lang w:val="en-US" w:eastAsia="zh-CN" w:bidi="ar"/>
                <w14:textFill>
                  <w14:solidFill>
                    <w14:schemeClr w14:val="tx1"/>
                  </w14:solidFill>
                </w14:textFill>
              </w:rPr>
              <w:t>下</w:t>
            </w:r>
            <w:r>
              <w:rPr>
                <w:rFonts w:hint="default" w:ascii="Times New Roman" w:hAnsi="Times New Roman" w:eastAsia="宋体" w:cs="Times New Roman"/>
                <w:b w:val="0"/>
                <w:bCs w:val="0"/>
                <w:color w:val="000000" w:themeColor="text1"/>
                <w:kern w:val="0"/>
                <w:sz w:val="24"/>
                <w:szCs w:val="24"/>
                <w:u w:val="single"/>
                <w:lang w:val="en-US" w:eastAsia="zh-CN" w:bidi="ar"/>
                <w14:textFill>
                  <w14:solidFill>
                    <w14:schemeClr w14:val="tx1"/>
                  </w14:solidFill>
                </w14:textFill>
              </w:rPr>
              <w:t>表。</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Times New Roman"/>
                <w:b/>
                <w:bCs/>
                <w:color w:val="000000" w:themeColor="text1"/>
                <w:kern w:val="0"/>
                <w:sz w:val="21"/>
                <w:szCs w:val="21"/>
                <w:u w:val="single"/>
                <w:lang w:val="en-US" w:eastAsia="zh-CN" w:bidi="ar"/>
                <w14:textFill>
                  <w14:solidFill>
                    <w14:schemeClr w14:val="tx1"/>
                  </w14:solidFill>
                </w14:textFill>
              </w:rPr>
            </w:pPr>
            <w:r>
              <w:rPr>
                <w:rFonts w:hint="eastAsia" w:ascii="Times New Roman" w:hAnsi="Times New Roman" w:eastAsia="宋体" w:cs="Times New Roman"/>
                <w:b/>
                <w:bCs/>
                <w:color w:val="000000" w:themeColor="text1"/>
                <w:kern w:val="0"/>
                <w:sz w:val="21"/>
                <w:szCs w:val="21"/>
                <w:u w:val="single"/>
                <w:lang w:val="en-US" w:eastAsia="zh-CN" w:bidi="ar"/>
                <w14:textFill>
                  <w14:solidFill>
                    <w14:schemeClr w14:val="tx1"/>
                  </w14:solidFill>
                </w14:textFill>
              </w:rPr>
              <w:t>表4-1</w:t>
            </w:r>
            <w:r>
              <w:rPr>
                <w:rFonts w:hint="eastAsia" w:cs="Times New Roman"/>
                <w:b/>
                <w:bCs/>
                <w:color w:val="000000" w:themeColor="text1"/>
                <w:kern w:val="0"/>
                <w:sz w:val="21"/>
                <w:szCs w:val="21"/>
                <w:u w:val="single"/>
                <w:lang w:val="en-US" w:eastAsia="zh-CN" w:bidi="ar"/>
                <w14:textFill>
                  <w14:solidFill>
                    <w14:schemeClr w14:val="tx1"/>
                  </w14:solidFill>
                </w14:textFill>
              </w:rPr>
              <w:t>4</w:t>
            </w:r>
            <w:r>
              <w:rPr>
                <w:rFonts w:hint="eastAsia" w:ascii="Times New Roman" w:hAnsi="Times New Roman" w:eastAsia="宋体" w:cs="Times New Roman"/>
                <w:b/>
                <w:bCs/>
                <w:color w:val="000000" w:themeColor="text1"/>
                <w:kern w:val="0"/>
                <w:sz w:val="21"/>
                <w:szCs w:val="21"/>
                <w:u w:val="single"/>
                <w:lang w:val="en-US" w:eastAsia="zh-CN" w:bidi="ar"/>
                <w14:textFill>
                  <w14:solidFill>
                    <w14:schemeClr w14:val="tx1"/>
                  </w14:solidFill>
                </w14:textFill>
              </w:rPr>
              <w:t xml:space="preserve">   风险物质分布情况及可能影响途径一览表</w:t>
            </w:r>
          </w:p>
          <w:tbl>
            <w:tblPr>
              <w:tblStyle w:val="19"/>
              <w:tblW w:w="4998" w:type="pct"/>
              <w:jc w:val="center"/>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09"/>
              <w:gridCol w:w="1014"/>
              <w:gridCol w:w="1429"/>
              <w:gridCol w:w="1233"/>
              <w:gridCol w:w="3058"/>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环境要素</w:t>
                  </w:r>
                </w:p>
              </w:tc>
              <w:tc>
                <w:tcPr>
                  <w:tcW w:w="63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风险单元</w:t>
                  </w:r>
                </w:p>
              </w:tc>
              <w:tc>
                <w:tcPr>
                  <w:tcW w:w="89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风险类型</w:t>
                  </w:r>
                </w:p>
              </w:tc>
              <w:tc>
                <w:tcPr>
                  <w:tcW w:w="77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风险源</w:t>
                  </w:r>
                </w:p>
              </w:tc>
              <w:tc>
                <w:tcPr>
                  <w:tcW w:w="1924"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影响途径</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大气</w:t>
                  </w:r>
                </w:p>
              </w:tc>
              <w:tc>
                <w:tcPr>
                  <w:tcW w:w="63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危废贮存区</w:t>
                  </w:r>
                </w:p>
              </w:tc>
              <w:tc>
                <w:tcPr>
                  <w:tcW w:w="89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泄漏、火灾、爆炸</w:t>
                  </w:r>
                </w:p>
              </w:tc>
              <w:tc>
                <w:tcPr>
                  <w:tcW w:w="77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各类危废</w:t>
                  </w:r>
                </w:p>
              </w:tc>
              <w:tc>
                <w:tcPr>
                  <w:tcW w:w="1924"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t>泄漏：大量易挥发物质及有毒有害物质进入大气环境</w:t>
                  </w:r>
                </w:p>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t>火灾/爆炸：未完全燃烧产生的大量CO以及未参与燃烧的大量有毒有害气体进入大气环境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pPr>
                </w:p>
              </w:tc>
              <w:tc>
                <w:tcPr>
                  <w:tcW w:w="638"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废气处理装置</w:t>
                  </w:r>
                </w:p>
              </w:tc>
              <w:tc>
                <w:tcPr>
                  <w:tcW w:w="89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事故排放</w:t>
                  </w:r>
                </w:p>
              </w:tc>
              <w:tc>
                <w:tcPr>
                  <w:tcW w:w="77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有机废气</w:t>
                  </w:r>
                </w:p>
              </w:tc>
              <w:tc>
                <w:tcPr>
                  <w:tcW w:w="1924"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废气超标排放，造成环境污染</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61"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地表水、地下水、土壤</w:t>
                  </w:r>
                </w:p>
              </w:tc>
              <w:tc>
                <w:tcPr>
                  <w:tcW w:w="638" w:type="pct"/>
                  <w:vMerge w:val="restart"/>
                  <w:tcBorders>
                    <w:tl2br w:val="nil"/>
                    <w:tr2bl w:val="nil"/>
                  </w:tcBorders>
                  <w:noWrap w:val="0"/>
                  <w:vAlign w:val="center"/>
                </w:tcPr>
                <w:p>
                  <w:pPr>
                    <w:keepNext w:val="0"/>
                    <w:keepLines w:val="0"/>
                    <w:pageBreakBefore w:val="0"/>
                    <w:widowControl/>
                    <w:suppressLineNumbers w:val="0"/>
                    <w:kinsoku/>
                    <w:wordWrap w:val="0"/>
                    <w:topLinePunct w:val="0"/>
                    <w:bidi w:val="0"/>
                    <w:jc w:val="center"/>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危废贮存区</w:t>
                  </w:r>
                </w:p>
              </w:tc>
              <w:tc>
                <w:tcPr>
                  <w:tcW w:w="89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事故排放</w:t>
                  </w:r>
                </w:p>
              </w:tc>
              <w:tc>
                <w:tcPr>
                  <w:tcW w:w="77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各类危废</w:t>
                  </w:r>
                </w:p>
              </w:tc>
              <w:tc>
                <w:tcPr>
                  <w:tcW w:w="1924" w:type="pct"/>
                  <w:vMerge w:val="restar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t>有毒有害物质进入地表水、地下水及土壤</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p>
              </w:tc>
              <w:tc>
                <w:tcPr>
                  <w:tcW w:w="638"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p>
              </w:tc>
              <w:tc>
                <w:tcPr>
                  <w:tcW w:w="89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装置泄露</w:t>
                  </w:r>
                </w:p>
              </w:tc>
              <w:tc>
                <w:tcPr>
                  <w:tcW w:w="77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各类危废</w:t>
                  </w:r>
                </w:p>
              </w:tc>
              <w:tc>
                <w:tcPr>
                  <w:tcW w:w="1924"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jc w:val="center"/>
              </w:trPr>
              <w:tc>
                <w:tcPr>
                  <w:tcW w:w="761"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eastAsia"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p>
              </w:tc>
              <w:tc>
                <w:tcPr>
                  <w:tcW w:w="638" w:type="pct"/>
                  <w:vMerge w:val="continue"/>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p>
              </w:tc>
              <w:tc>
                <w:tcPr>
                  <w:tcW w:w="899"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渗漏</w:t>
                  </w:r>
                </w:p>
              </w:tc>
              <w:tc>
                <w:tcPr>
                  <w:tcW w:w="776"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eastAsia" w:cs="宋体"/>
                      <w:b w:val="0"/>
                      <w:bCs w:val="0"/>
                      <w:color w:val="000000" w:themeColor="text1"/>
                      <w:kern w:val="0"/>
                      <w:sz w:val="21"/>
                      <w:szCs w:val="21"/>
                      <w:u w:val="single"/>
                      <w:vertAlign w:val="baseline"/>
                      <w:lang w:val="en-US" w:eastAsia="zh-CN" w:bidi="ar"/>
                      <w14:textFill>
                        <w14:solidFill>
                          <w14:schemeClr w14:val="tx1"/>
                        </w14:solidFill>
                      </w14:textFill>
                    </w:rPr>
                    <w:t>各类危废</w:t>
                  </w:r>
                </w:p>
              </w:tc>
              <w:tc>
                <w:tcPr>
                  <w:tcW w:w="1924" w:type="pct"/>
                  <w:tcBorders>
                    <w:tl2br w:val="nil"/>
                    <w:tr2bl w:val="nil"/>
                  </w:tcBorders>
                  <w:noWrap w:val="0"/>
                  <w:vAlign w:val="center"/>
                </w:tcPr>
                <w:p>
                  <w:pPr>
                    <w:keepNext w:val="0"/>
                    <w:keepLines w:val="0"/>
                    <w:pageBreakBefore w:val="0"/>
                    <w:widowControl/>
                    <w:suppressLineNumbers w:val="0"/>
                    <w:kinsoku/>
                    <w:wordWrap w:val="0"/>
                    <w:overflowPunct/>
                    <w:topLinePunct w:val="0"/>
                    <w:autoSpaceDE/>
                    <w:autoSpaceDN/>
                    <w:bidi w:val="0"/>
                    <w:adjustRightInd/>
                    <w:snapToGrid/>
                    <w:spacing w:line="240" w:lineRule="auto"/>
                    <w:jc w:val="center"/>
                    <w:textAlignment w:val="auto"/>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pPr>
                  <w:r>
                    <w:rPr>
                      <w:rFonts w:hint="default" w:ascii="Times New Roman" w:hAnsi="Times New Roman" w:eastAsia="宋体" w:cs="宋体"/>
                      <w:b w:val="0"/>
                      <w:bCs w:val="0"/>
                      <w:color w:val="000000" w:themeColor="text1"/>
                      <w:kern w:val="0"/>
                      <w:sz w:val="21"/>
                      <w:szCs w:val="21"/>
                      <w:u w:val="single"/>
                      <w:vertAlign w:val="baseline"/>
                      <w:lang w:val="en-US" w:eastAsia="zh-CN" w:bidi="ar"/>
                      <w14:textFill>
                        <w14:solidFill>
                          <w14:schemeClr w14:val="tx1"/>
                        </w14:solidFill>
                      </w14:textFill>
                    </w:rPr>
                    <w:t>有毒有害物质进入地下水及土壤</w:t>
                  </w:r>
                </w:p>
              </w:tc>
            </w:tr>
          </w:tbl>
          <w:p>
            <w:pPr>
              <w:keepLines w:val="0"/>
              <w:pageBreakBefore w:val="0"/>
              <w:kinsoku/>
              <w:wordWrap w:val="0"/>
              <w:topLinePunct w:val="0"/>
              <w:bidi w:val="0"/>
              <w:spacing w:line="520" w:lineRule="exact"/>
              <w:rPr>
                <w:rFonts w:hint="default" w:ascii="Times New Roman" w:hAnsi="Times New Roman" w:eastAsia="宋体"/>
                <w:b/>
                <w:bCs/>
                <w:color w:val="000000" w:themeColor="text1"/>
                <w:kern w:val="0"/>
                <w:sz w:val="24"/>
                <w:szCs w:val="20"/>
                <w:lang w:val="en-US" w:eastAsia="zh-CN"/>
                <w14:textFill>
                  <w14:solidFill>
                    <w14:schemeClr w14:val="tx1"/>
                  </w14:solidFill>
                </w14:textFill>
              </w:rPr>
            </w:pPr>
            <w:r>
              <w:rPr>
                <w:rFonts w:ascii="Times New Roman" w:hAnsi="Times New Roman"/>
                <w:b/>
                <w:bCs/>
                <w:color w:val="000000" w:themeColor="text1"/>
                <w:kern w:val="0"/>
                <w:sz w:val="24"/>
                <w:szCs w:val="20"/>
                <w14:textFill>
                  <w14:solidFill>
                    <w14:schemeClr w14:val="tx1"/>
                  </w14:solidFill>
                </w14:textFill>
              </w:rPr>
              <w:t xml:space="preserve">4.6.3 </w:t>
            </w:r>
            <w:r>
              <w:rPr>
                <w:rFonts w:hint="eastAsia" w:ascii="Times New Roman" w:hAnsi="Times New Roman"/>
                <w:b/>
                <w:bCs/>
                <w:color w:val="000000" w:themeColor="text1"/>
                <w:kern w:val="0"/>
                <w:sz w:val="24"/>
                <w:szCs w:val="20"/>
                <w:lang w:val="en-US" w:eastAsia="zh-CN"/>
                <w14:textFill>
                  <w14:solidFill>
                    <w14:schemeClr w14:val="tx1"/>
                  </w14:solidFill>
                </w14:textFill>
              </w:rPr>
              <w:t>环境风险防范措施</w:t>
            </w:r>
          </w:p>
          <w:p>
            <w:pPr>
              <w:pStyle w:val="56"/>
              <w:keepLines w:val="0"/>
              <w:pageBreakBefore w:val="0"/>
              <w:tabs>
                <w:tab w:val="left" w:pos="715"/>
              </w:tabs>
              <w:kinsoku/>
              <w:wordWrap w:val="0"/>
              <w:topLinePunct w:val="0"/>
              <w:bidi w:val="0"/>
              <w:spacing w:before="181" w:line="220" w:lineRule="auto"/>
              <w:ind w:left="579"/>
              <w:rPr>
                <w:rFonts w:ascii="Times New Roman" w:hAnsi="Times New Roman"/>
                <w:color w:val="000000" w:themeColor="text1"/>
                <w:u w:val="none" w:color="auto"/>
                <w14:textFill>
                  <w14:solidFill>
                    <w14:schemeClr w14:val="tx1"/>
                  </w14:solidFill>
                </w14:textFill>
              </w:rPr>
            </w:pPr>
            <w:r>
              <w:rPr>
                <w:rFonts w:ascii="Times New Roman" w:hAnsi="Times New Roman"/>
                <w:color w:val="000000" w:themeColor="text1"/>
                <w:spacing w:val="-8"/>
                <w:u w:val="none" w:color="auto"/>
                <w14:textFill>
                  <w14:solidFill>
                    <w14:schemeClr w14:val="tx1"/>
                  </w14:solidFill>
                </w14:textFill>
              </w:rPr>
              <w:t>（</w:t>
            </w:r>
            <w:r>
              <w:rPr>
                <w:rFonts w:ascii="Times New Roman" w:hAnsi="Times New Roman" w:eastAsia="Times New Roman" w:cs="Times New Roman"/>
                <w:color w:val="000000" w:themeColor="text1"/>
                <w:spacing w:val="-8"/>
                <w:u w:val="none" w:color="auto"/>
                <w14:textFill>
                  <w14:solidFill>
                    <w14:schemeClr w14:val="tx1"/>
                  </w14:solidFill>
                </w14:textFill>
              </w:rPr>
              <w:t>1</w:t>
            </w:r>
            <w:r>
              <w:rPr>
                <w:rFonts w:ascii="Times New Roman" w:hAnsi="Times New Roman"/>
                <w:color w:val="000000" w:themeColor="text1"/>
                <w:spacing w:val="-8"/>
                <w:u w:val="none" w:color="auto"/>
                <w14:textFill>
                  <w14:solidFill>
                    <w14:schemeClr w14:val="tx1"/>
                  </w14:solidFill>
                </w14:textFill>
              </w:rPr>
              <w:t>）危险废物收集过程中的风险防范措施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28" w:firstLineChars="200"/>
              <w:textAlignment w:val="auto"/>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13"/>
                <w:sz w:val="24"/>
                <w:szCs w:val="24"/>
                <w:u w:val="none" w:color="auto"/>
                <w14:textFill>
                  <w14:solidFill>
                    <w14:schemeClr w14:val="tx1"/>
                  </w14:solidFill>
                </w14:textFill>
              </w:rPr>
              <w:t>危险废物收运过程，严格执行国家有关规范、标准，收运人员应经过培</w:t>
            </w:r>
            <w:r>
              <w:rPr>
                <w:rFonts w:hint="default" w:ascii="Times New Roman" w:hAnsi="Times New Roman" w:eastAsia="宋体" w:cs="Times New Roman"/>
                <w:color w:val="000000" w:themeColor="text1"/>
                <w:spacing w:val="-7"/>
                <w:sz w:val="24"/>
                <w:szCs w:val="24"/>
                <w:u w:val="none" w:color="auto"/>
                <w14:textFill>
                  <w14:solidFill>
                    <w14:schemeClr w14:val="tx1"/>
                  </w14:solidFill>
                </w14:textFill>
              </w:rPr>
              <w:t>训，持证上岗，执行《危险废物转移联单管理办法》。</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56" w:firstLineChars="200"/>
              <w:textAlignment w:val="auto"/>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6"/>
                <w:sz w:val="24"/>
                <w:szCs w:val="24"/>
                <w:u w:val="none" w:color="auto"/>
                <w14:textFill>
                  <w14:solidFill>
                    <w14:schemeClr w14:val="tx1"/>
                  </w14:solidFill>
                </w14:textFill>
              </w:rPr>
              <w:t>建设单位向危险废物产生单位明确危险废物经营范围，可接收和不可接</w:t>
            </w:r>
            <w:r>
              <w:rPr>
                <w:rFonts w:hint="default" w:ascii="Times New Roman" w:hAnsi="Times New Roman" w:eastAsia="宋体" w:cs="Times New Roman"/>
                <w:color w:val="000000" w:themeColor="text1"/>
                <w:spacing w:val="-12"/>
                <w:sz w:val="24"/>
                <w:szCs w:val="24"/>
                <w:u w:val="none" w:color="auto"/>
                <w14:textFill>
                  <w14:solidFill>
                    <w14:schemeClr w14:val="tx1"/>
                  </w14:solidFill>
                </w14:textFill>
              </w:rPr>
              <w:t>收的内容范围，对可接收危险废物应严格按物化特性分类，严禁混合收集性质不相容而未经安全处置的废物。</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52" w:firstLineChars="200"/>
              <w:textAlignment w:val="auto"/>
              <w:rPr>
                <w:rFonts w:hint="default" w:ascii="Times New Roman" w:hAnsi="Times New Roman" w:eastAsia="宋体" w:cs="Times New Roman"/>
                <w:color w:val="000000" w:themeColor="text1"/>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7"/>
                <w:sz w:val="24"/>
                <w:szCs w:val="24"/>
                <w:u w:val="none" w:color="auto"/>
                <w14:textFill>
                  <w14:solidFill>
                    <w14:schemeClr w14:val="tx1"/>
                  </w14:solidFill>
                </w14:textFill>
              </w:rPr>
              <w:t>建立安全生产岗位责任制，制定安全生产规</w:t>
            </w:r>
            <w:r>
              <w:rPr>
                <w:rFonts w:hint="default" w:ascii="Times New Roman" w:hAnsi="Times New Roman" w:eastAsia="宋体" w:cs="Times New Roman"/>
                <w:color w:val="000000" w:themeColor="text1"/>
                <w:spacing w:val="-8"/>
                <w:sz w:val="24"/>
                <w:szCs w:val="24"/>
                <w:u w:val="none" w:color="auto"/>
                <w14:textFill>
                  <w14:solidFill>
                    <w14:schemeClr w14:val="tx1"/>
                  </w14:solidFill>
                </w14:textFill>
              </w:rPr>
              <w:t>章制度、安全操作规程。如</w:t>
            </w:r>
            <w:r>
              <w:rPr>
                <w:rFonts w:hint="default" w:ascii="Times New Roman" w:hAnsi="Times New Roman" w:eastAsia="宋体" w:cs="Times New Roman"/>
                <w:color w:val="000000" w:themeColor="text1"/>
                <w:spacing w:val="-5"/>
                <w:sz w:val="24"/>
                <w:szCs w:val="24"/>
                <w:u w:val="none" w:color="auto"/>
                <w14:textFill>
                  <w14:solidFill>
                    <w14:schemeClr w14:val="tx1"/>
                  </w14:solidFill>
                </w14:textFill>
              </w:rPr>
              <w:t>危险废物收集过程必须有全套切实可行的安全操作规程，</w:t>
            </w:r>
            <w:r>
              <w:rPr>
                <w:rFonts w:hint="default" w:ascii="Times New Roman" w:hAnsi="Times New Roman" w:eastAsia="宋体" w:cs="Times New Roman"/>
                <w:color w:val="000000" w:themeColor="text1"/>
                <w:spacing w:val="-6"/>
                <w:sz w:val="24"/>
                <w:szCs w:val="24"/>
                <w:u w:val="none" w:color="auto"/>
                <w14:textFill>
                  <w14:solidFill>
                    <w14:schemeClr w14:val="tx1"/>
                  </w14:solidFill>
                </w14:textFill>
              </w:rPr>
              <w:t>有专人负责检查安</w:t>
            </w:r>
            <w:r>
              <w:rPr>
                <w:rFonts w:hint="default" w:ascii="Times New Roman" w:hAnsi="Times New Roman" w:eastAsia="宋体" w:cs="Times New Roman"/>
                <w:color w:val="000000" w:themeColor="text1"/>
                <w:spacing w:val="-5"/>
                <w:sz w:val="24"/>
                <w:szCs w:val="24"/>
                <w:u w:val="none" w:color="auto"/>
                <w14:textFill>
                  <w14:solidFill>
                    <w14:schemeClr w14:val="tx1"/>
                  </w14:solidFill>
                </w14:textFill>
              </w:rPr>
              <w:t>全操作规程的执行、安全设备及防护设备；作业人员应学会</w:t>
            </w:r>
            <w:r>
              <w:rPr>
                <w:rFonts w:hint="default" w:ascii="Times New Roman" w:hAnsi="Times New Roman" w:eastAsia="宋体" w:cs="Times New Roman"/>
                <w:color w:val="000000" w:themeColor="text1"/>
                <w:spacing w:val="-6"/>
                <w:sz w:val="24"/>
                <w:szCs w:val="24"/>
                <w:u w:val="none" w:color="auto"/>
                <w14:textFill>
                  <w14:solidFill>
                    <w14:schemeClr w14:val="tx1"/>
                  </w14:solidFill>
                </w14:textFill>
              </w:rPr>
              <w:t>自救和互救。</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48" w:firstLineChars="200"/>
              <w:jc w:val="both"/>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8"/>
                <w:sz w:val="24"/>
                <w:szCs w:val="24"/>
                <w:u w:val="none" w:color="auto"/>
                <w14:textFill>
                  <w14:solidFill>
                    <w14:schemeClr w14:val="tx1"/>
                  </w14:solidFill>
                </w14:textFill>
              </w:rPr>
              <w:t>企业应制定严格危险废物收运的管理制度，不得超量、超类别、超范围</w:t>
            </w:r>
            <w:r>
              <w:rPr>
                <w:rFonts w:hint="default" w:ascii="Times New Roman" w:hAnsi="Times New Roman" w:eastAsia="宋体" w:cs="Times New Roman"/>
                <w:color w:val="000000" w:themeColor="text1"/>
                <w:spacing w:val="-7"/>
                <w:sz w:val="24"/>
                <w:szCs w:val="24"/>
                <w:u w:val="none" w:color="auto"/>
                <w14:textFill>
                  <w14:solidFill>
                    <w14:schemeClr w14:val="tx1"/>
                  </w14:solidFill>
                </w14:textFill>
              </w:rPr>
              <w:t>收取危险废物。建立危险废物来源的追溯系统，对于不按照规范包装、不</w:t>
            </w:r>
            <w:r>
              <w:rPr>
                <w:rFonts w:hint="eastAsia" w:ascii="Times New Roman" w:hAnsi="Times New Roman" w:cs="Times New Roman"/>
                <w:color w:val="000000" w:themeColor="text1"/>
                <w:spacing w:val="-7"/>
                <w:sz w:val="24"/>
                <w:szCs w:val="24"/>
                <w:u w:val="none" w:color="auto"/>
                <w:lang w:val="en-US" w:eastAsia="zh-CN"/>
                <w14:textFill>
                  <w14:solidFill>
                    <w14:schemeClr w14:val="tx1"/>
                  </w14:solidFill>
                </w14:textFill>
              </w:rPr>
              <w:t>提交物化特性等危险废物产生企业，拒绝收运</w:t>
            </w:r>
            <w:r>
              <w:rPr>
                <w:rFonts w:hint="default" w:ascii="Times New Roman" w:hAnsi="Times New Roman" w:eastAsia="宋体" w:cs="Times New Roman"/>
                <w:color w:val="000000" w:themeColor="text1"/>
                <w:spacing w:val="-18"/>
                <w:sz w:val="24"/>
                <w:szCs w:val="24"/>
                <w:u w:val="none" w:color="auto"/>
                <w14:textFill>
                  <w14:solidFill>
                    <w14:schemeClr w14:val="tx1"/>
                  </w14:solidFill>
                </w14:textFill>
              </w:rPr>
              <w:t>。</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default" w:ascii="Times New Roman" w:hAnsi="Times New Roman" w:eastAsia="宋体" w:cs="Times New Roman"/>
                <w:color w:val="000000" w:themeColor="text1"/>
                <w:spacing w:val="0"/>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sz w:val="24"/>
                <w:szCs w:val="24"/>
                <w:u w:val="none" w:color="auto"/>
                <w:lang w:val="en-US" w:eastAsia="zh-CN"/>
                <w14:textFill>
                  <w14:solidFill>
                    <w14:schemeClr w14:val="tx1"/>
                  </w14:solidFill>
                </w14:textFill>
              </w:rPr>
              <w:t>危险废物产生企业难以确定危险废物类别和物化特性的，应由第三方有资质的检测单位出具鉴别报告，否则不予收集。</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（2）危险废物运输过程中的风险防范措施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危险废物的运输委托第三方具有危险废物运输资质的单位负责。该单位应具有危险废物经营许可证和危险货物运输许可证；严格按照《危险废物收集、贮存、运输技术规范》进行危险废物的包装和转运，并符合《汽车运输危险货物规则》的要求。防止在收运过程中发生危险废物泄漏、洒落等事故</w:t>
            </w:r>
            <w:r>
              <w:rPr>
                <w:rFonts w:hint="eastAsia" w:ascii="Times New Roman" w:hAnsi="Times New Roman" w:cs="Times New Roman"/>
                <w:color w:val="000000" w:themeColor="text1"/>
                <w:spacing w:val="0"/>
                <w:w w:val="100"/>
                <w:sz w:val="24"/>
                <w:szCs w:val="24"/>
                <w:u w:val="none" w:color="auto"/>
                <w:lang w:val="en-US" w:eastAsia="zh-CN"/>
                <w14:textFill>
                  <w14:solidFill>
                    <w14:schemeClr w14:val="tx1"/>
                  </w14:solidFill>
                </w14:textFill>
              </w:rPr>
              <w:t>污染环境</w:t>
            </w: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危险废物转移时需办理有关手续，必须按照规定填写危险废物转移联单，对转移的每车（次）危险废物，编号并记录运输日期、车辆号码、所运危险废物数量、目的地，落实交付方、运输方、接收方等。其包装容器必须贴有标签，注明危险废物的名称质量、成分、特性、运输危险废物车辆有危废式样标志。</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危险废物的收集运输过程中必须做好废物的密封包装、遮盖、捆扎等措施，严禁将具有反应性的不相容的废物、或者性质不明的废物进行混合，防止在运输过程中的反应、渗漏、溢出、抛洒或挥发等情况发生。</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包装容器必须有明显的标识，标识尺寸、内容应符合《危险货物运输包装通用技术条件》和《危险废物贮存污染控制标准》的要求。在运输过程中，容器不应滑动，应捆紧并码好。运输过程中，必须按照国家法律、法规要求，用通用的符号、颜色、含义正确的标注，已警示其危险性。</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承载运输危险废物的车辆必须有明显的标志或适当的危险符号，易引起注意。在运输过程中须持有运输许可证，其上注明废物来源、性质和运往地点。在驾驶室喷涂储存场地的名称和运送车辆编号。</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运输危险废物的人员应参加专业技术培训，经考核合格后，方可从事运输危险废物作业，无证人员不得从事危险废物运输。</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对运输危险废物的车辆、设备等必须定期检查，加强维护和管理，及时发现安全隐患，确保运输安全。事先应作出周密的运输计划，其中包括危险废物泄漏情况下的有效应急措施。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运输过程中，危险废物运输车辆按照规定的线路限速行驶，避开人口密集区、饮用水源保护区、自然保护区等环境敏感区。运输单位应制定意外事故的防范措施和应急预案，对危险废物运输过程中发生的风险事故负责。</w:t>
            </w:r>
          </w:p>
          <w:p>
            <w:pPr>
              <w:keepLines w:val="0"/>
              <w:pageBreakBefore w:val="0"/>
              <w:kinsoku/>
              <w:wordWrap w:val="0"/>
              <w:topLinePunct w:val="0"/>
              <w:bidi w:val="0"/>
              <w:spacing w:line="520" w:lineRule="exact"/>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3</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危险废物贮存风险防范措施及工艺安全设计措施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贮存过程事故风险主要是因废物泄漏而造成的火灾爆炸、毒物泄漏、毒气释放和水质污染等事故，是安全生产的重要方面。针对危险废物储存过程中的风险，根据项目设计方案，采取如下措施降低产生风险的可性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①本项目将厂房设置为</w:t>
            </w:r>
            <w:r>
              <w:rPr>
                <w:rFonts w:ascii="Times New Roman" w:hAnsi="Times New Roman" w:eastAsia="Times New Roman" w:cs="Times New Roman"/>
                <w:color w:val="000000" w:themeColor="text1"/>
                <w:spacing w:val="0"/>
                <w:w w:val="100"/>
                <w:u w:val="none" w:color="auto"/>
                <w14:textFill>
                  <w14:solidFill>
                    <w14:schemeClr w14:val="tx1"/>
                  </w14:solidFill>
                </w14:textFill>
              </w:rPr>
              <w:t>8</w:t>
            </w:r>
            <w:r>
              <w:rPr>
                <w:rFonts w:ascii="Times New Roman" w:hAnsi="Times New Roman"/>
                <w:color w:val="000000" w:themeColor="text1"/>
                <w:spacing w:val="0"/>
                <w:w w:val="100"/>
                <w:u w:val="none" w:color="auto"/>
                <w14:textFill>
                  <w14:solidFill>
                    <w14:schemeClr w14:val="tx1"/>
                  </w14:solidFill>
                </w14:textFill>
              </w:rPr>
              <w:t>个贮存单元，贮存单元依据《危险废物贮存污染控制标准》（</w:t>
            </w:r>
            <w:r>
              <w:rPr>
                <w:rFonts w:ascii="Times New Roman" w:hAnsi="Times New Roman" w:eastAsia="Times New Roman" w:cs="Times New Roman"/>
                <w:color w:val="000000" w:themeColor="text1"/>
                <w:spacing w:val="0"/>
                <w:w w:val="100"/>
                <w:u w:val="none" w:color="auto"/>
                <w14:textFill>
                  <w14:solidFill>
                    <w14:schemeClr w14:val="tx1"/>
                  </w14:solidFill>
                </w14:textFill>
              </w:rPr>
              <w:t>GB18597-20</w:t>
            </w:r>
            <w:r>
              <w:rPr>
                <w:rFonts w:hint="eastAsia" w:ascii="Times New Roman" w:hAnsi="Times New Roman" w:cs="Times New Roman"/>
                <w:color w:val="000000" w:themeColor="text1"/>
                <w:spacing w:val="0"/>
                <w:w w:val="100"/>
                <w:u w:val="none" w:color="auto"/>
                <w:lang w:val="en-US" w:eastAsia="zh-CN"/>
                <w14:textFill>
                  <w14:solidFill>
                    <w14:schemeClr w14:val="tx1"/>
                  </w14:solidFill>
                </w14:textFill>
              </w:rPr>
              <w:t>23</w:t>
            </w:r>
            <w:r>
              <w:rPr>
                <w:rFonts w:ascii="Times New Roman" w:hAnsi="Times New Roman"/>
                <w:color w:val="000000" w:themeColor="text1"/>
                <w:spacing w:val="0"/>
                <w:w w:val="100"/>
                <w:u w:val="none" w:color="auto"/>
                <w14:textFill>
                  <w14:solidFill>
                    <w14:schemeClr w14:val="tx1"/>
                  </w14:solidFill>
                </w14:textFill>
              </w:rPr>
              <w:t>）、《危险废物收集贮存运输技术规范》（</w:t>
            </w:r>
            <w:r>
              <w:rPr>
                <w:rFonts w:ascii="Times New Roman" w:hAnsi="Times New Roman" w:eastAsia="Times New Roman" w:cs="Times New Roman"/>
                <w:color w:val="000000" w:themeColor="text1"/>
                <w:spacing w:val="0"/>
                <w:w w:val="100"/>
                <w:u w:val="none" w:color="auto"/>
                <w14:textFill>
                  <w14:solidFill>
                    <w14:schemeClr w14:val="tx1"/>
                  </w14:solidFill>
                </w14:textFill>
              </w:rPr>
              <w:t>HJ2025-2012</w:t>
            </w:r>
            <w:r>
              <w:rPr>
                <w:rFonts w:ascii="Times New Roman" w:hAnsi="Times New Roman"/>
                <w:color w:val="000000" w:themeColor="text1"/>
                <w:spacing w:val="0"/>
                <w:w w:val="100"/>
                <w:u w:val="none" w:color="auto"/>
                <w14:textFill>
                  <w14:solidFill>
                    <w14:schemeClr w14:val="tx1"/>
                  </w14:solidFill>
                </w14:textFill>
              </w:rPr>
              <w:t>）等相关要求进行设置，危险废物贮存单元按照腐蚀性、毒性、易燃性、反应性等危险特性对危险废物进行分类、包装并设置相应的标志及标签，保证不同危险特性的废物分区贮存，各区域互不干扰，不同类型危险废物禁止混合堆存。危险废物特性应根据其理化特性分析报告进行判断。</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②危险废物贮存单元设气体导出口、安全照明设施、排风机，并配备摄像头装置、观察口等，同时各贮存单元应设置明显的危险废物标识，现场设置禁止烟火安全警示标识。每个贮存单元设置截流槽及应急收集池，并采取防腐、防渗措施，一旦发生泄漏，废液经截流槽进入应急收集池中，收集后作为危险废物进行管理。厂房进出口设置漫坡，防止室内事故废水外排，并配备满足</w:t>
            </w:r>
            <w:r>
              <w:rPr>
                <w:rFonts w:ascii="Times New Roman" w:hAnsi="Times New Roman" w:eastAsia="Times New Roman" w:cs="Times New Roman"/>
                <w:color w:val="000000" w:themeColor="text1"/>
                <w:spacing w:val="0"/>
                <w:w w:val="100"/>
                <w:u w:val="none" w:color="auto"/>
                <w14:textFill>
                  <w14:solidFill>
                    <w14:schemeClr w14:val="tx1"/>
                  </w14:solidFill>
                </w14:textFill>
              </w:rPr>
              <w:t>0.5m</w:t>
            </w:r>
            <w:r>
              <w:rPr>
                <w:rFonts w:ascii="Times New Roman" w:hAnsi="Times New Roman"/>
                <w:color w:val="000000" w:themeColor="text1"/>
                <w:spacing w:val="0"/>
                <w:w w:val="100"/>
                <w:u w:val="none" w:color="auto"/>
                <w14:textFill>
                  <w14:solidFill>
                    <w14:schemeClr w14:val="tx1"/>
                  </w14:solidFill>
                </w14:textFill>
              </w:rPr>
              <w:t>的防汛封堵沙袋。</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③危险废物贮存单位应建立危险废物贮存的台帐制度。每个贮存单元设有监控摄像头，</w:t>
            </w:r>
            <w:r>
              <w:rPr>
                <w:rFonts w:ascii="Times New Roman" w:hAnsi="Times New Roman" w:eastAsia="Times New Roman" w:cs="Times New Roman"/>
                <w:color w:val="000000" w:themeColor="text1"/>
                <w:spacing w:val="0"/>
                <w:w w:val="100"/>
                <w:u w:val="none" w:color="auto"/>
                <w14:textFill>
                  <w14:solidFill>
                    <w14:schemeClr w14:val="tx1"/>
                  </w14:solidFill>
                </w14:textFill>
              </w:rPr>
              <w:t>24h</w:t>
            </w:r>
            <w:r>
              <w:rPr>
                <w:rFonts w:ascii="Times New Roman" w:hAnsi="Times New Roman"/>
                <w:color w:val="000000" w:themeColor="text1"/>
                <w:spacing w:val="0"/>
                <w:w w:val="100"/>
                <w:u w:val="none" w:color="auto"/>
                <w14:textFill>
                  <w14:solidFill>
                    <w14:schemeClr w14:val="tx1"/>
                  </w14:solidFill>
                </w14:textFill>
              </w:rPr>
              <w:t>全天候监控；并设置专人负责防盗，厂房应上锁，贮存单元采用双钥匙封闭式管理，且有专人</w:t>
            </w:r>
            <w:r>
              <w:rPr>
                <w:rFonts w:ascii="Times New Roman" w:hAnsi="Times New Roman" w:eastAsia="Times New Roman" w:cs="Times New Roman"/>
                <w:color w:val="000000" w:themeColor="text1"/>
                <w:spacing w:val="0"/>
                <w:w w:val="100"/>
                <w:u w:val="none" w:color="auto"/>
                <w14:textFill>
                  <w14:solidFill>
                    <w14:schemeClr w14:val="tx1"/>
                  </w14:solidFill>
                </w14:textFill>
              </w:rPr>
              <w:t>24</w:t>
            </w:r>
            <w:r>
              <w:rPr>
                <w:rFonts w:ascii="Times New Roman" w:hAnsi="Times New Roman"/>
                <w:color w:val="000000" w:themeColor="text1"/>
                <w:spacing w:val="0"/>
                <w:w w:val="100"/>
                <w:u w:val="none" w:color="auto"/>
                <w14:textFill>
                  <w14:solidFill>
                    <w14:schemeClr w14:val="tx1"/>
                  </w14:solidFill>
                </w14:textFill>
              </w:rPr>
              <w:t>小时看管。</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④危险废物贮存单元的截流槽、厂房外的事故水池等均设置防渗，防渗要求达到《危险废物贮存污染控制标准》（</w:t>
            </w:r>
            <w:r>
              <w:rPr>
                <w:rFonts w:ascii="Times New Roman" w:hAnsi="Times New Roman" w:eastAsia="Times New Roman" w:cs="Times New Roman"/>
                <w:color w:val="000000" w:themeColor="text1"/>
                <w:spacing w:val="0"/>
                <w:w w:val="100"/>
                <w:u w:val="none" w:color="auto"/>
                <w14:textFill>
                  <w14:solidFill>
                    <w14:schemeClr w14:val="tx1"/>
                  </w14:solidFill>
                </w14:textFill>
              </w:rPr>
              <w:t>GB18597-20</w:t>
            </w:r>
            <w:r>
              <w:rPr>
                <w:rFonts w:hint="eastAsia" w:ascii="Times New Roman" w:hAnsi="Times New Roman" w:cs="Times New Roman"/>
                <w:color w:val="000000" w:themeColor="text1"/>
                <w:spacing w:val="0"/>
                <w:w w:val="100"/>
                <w:u w:val="none" w:color="auto"/>
                <w:lang w:val="en-US" w:eastAsia="zh-CN"/>
                <w14:textFill>
                  <w14:solidFill>
                    <w14:schemeClr w14:val="tx1"/>
                  </w14:solidFill>
                </w14:textFill>
              </w:rPr>
              <w:t>23</w:t>
            </w:r>
            <w:r>
              <w:rPr>
                <w:rFonts w:ascii="Times New Roman" w:hAnsi="Times New Roman"/>
                <w:color w:val="000000" w:themeColor="text1"/>
                <w:spacing w:val="0"/>
                <w:w w:val="100"/>
                <w:u w:val="none" w:color="auto"/>
                <w14:textFill>
                  <w14:solidFill>
                    <w14:schemeClr w14:val="tx1"/>
                  </w14:solidFill>
                </w14:textFill>
              </w:rPr>
              <w:t>）等相关要求。</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⑤厂房内的备用单元用于贮存事故应急物资，包括安全防护服装、工具及应急防护设施等。贮存危险废物时应按照危险废物的种类和特性进行分区贮存，每个分区设置</w:t>
            </w:r>
            <w:r>
              <w:rPr>
                <w:rFonts w:ascii="Times New Roman" w:hAnsi="Times New Roman" w:eastAsia="Times New Roman" w:cs="Times New Roman"/>
                <w:color w:val="000000" w:themeColor="text1"/>
                <w:spacing w:val="0"/>
                <w:w w:val="100"/>
                <w:u w:val="none" w:color="auto"/>
                <w14:textFill>
                  <w14:solidFill>
                    <w14:schemeClr w14:val="tx1"/>
                  </w14:solidFill>
                </w14:textFill>
              </w:rPr>
              <w:t>1</w:t>
            </w:r>
            <w:r>
              <w:rPr>
                <w:rFonts w:ascii="Times New Roman" w:hAnsi="Times New Roman"/>
                <w:color w:val="000000" w:themeColor="text1"/>
                <w:spacing w:val="0"/>
                <w:w w:val="100"/>
                <w:u w:val="none" w:color="auto"/>
                <w14:textFill>
                  <w14:solidFill>
                    <w14:schemeClr w14:val="tx1"/>
                  </w14:solidFill>
                </w14:textFill>
              </w:rPr>
              <w:t>具</w:t>
            </w:r>
            <w:r>
              <w:rPr>
                <w:rFonts w:ascii="Times New Roman" w:hAnsi="Times New Roman" w:eastAsia="Times New Roman" w:cs="Times New Roman"/>
                <w:color w:val="000000" w:themeColor="text1"/>
                <w:spacing w:val="0"/>
                <w:w w:val="100"/>
                <w:u w:val="none" w:color="auto"/>
                <w14:textFill>
                  <w14:solidFill>
                    <w14:schemeClr w14:val="tx1"/>
                  </w14:solidFill>
                </w14:textFill>
              </w:rPr>
              <w:t>35kg</w:t>
            </w:r>
            <w:r>
              <w:rPr>
                <w:rFonts w:ascii="Times New Roman" w:hAnsi="Times New Roman"/>
                <w:color w:val="000000" w:themeColor="text1"/>
                <w:spacing w:val="0"/>
                <w:w w:val="100"/>
                <w:u w:val="none" w:color="auto"/>
                <w14:textFill>
                  <w14:solidFill>
                    <w14:schemeClr w14:val="tx1"/>
                  </w14:solidFill>
                </w14:textFill>
              </w:rPr>
              <w:t>干粉灭火器。</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color w:val="000000" w:themeColor="text1"/>
                <w:spacing w:val="0"/>
                <w:w w:val="100"/>
                <w:u w:val="none" w:color="auto"/>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w:t>
            </w:r>
            <w:r>
              <w:rPr>
                <w:rFonts w:ascii="Times New Roman" w:hAnsi="Times New Roman" w:eastAsia="Times New Roman" w:cs="Times New Roman"/>
                <w:color w:val="000000" w:themeColor="text1"/>
                <w:spacing w:val="0"/>
                <w:w w:val="100"/>
                <w:u w:val="none" w:color="auto"/>
                <w14:textFill>
                  <w14:solidFill>
                    <w14:schemeClr w14:val="tx1"/>
                  </w14:solidFill>
                </w14:textFill>
              </w:rPr>
              <w:t>4</w:t>
            </w:r>
            <w:r>
              <w:rPr>
                <w:rFonts w:ascii="Times New Roman" w:hAnsi="Times New Roman"/>
                <w:color w:val="000000" w:themeColor="text1"/>
                <w:spacing w:val="0"/>
                <w:w w:val="100"/>
                <w:u w:val="none" w:color="auto"/>
                <w14:textFill>
                  <w14:solidFill>
                    <w14:schemeClr w14:val="tx1"/>
                  </w14:solidFill>
                </w14:textFill>
              </w:rPr>
              <w:t>）人员管理及培训</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color w:val="000000" w:themeColor="text1"/>
                <w:spacing w:val="0"/>
                <w:w w:val="100"/>
                <w:sz w:val="24"/>
                <w:u w:val="none" w:color="auto"/>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①熟悉有关危险废物的法律和规章制度，了解危险废物危险性方面的知识，明确危险废物安全处理和环境保护的重要意义，并熟悉危险废物的分类和包装标识及装置运作的工艺流程。</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②掌握劳动安全防护设施、设备的使用知识和个人卫生措施。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③进入贮存区域的所有人员应穿着防静电服、消除人体静电，严禁携带非防爆通讯设备。</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④掌握处理泄漏和其他事故的应急操作程序。</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color w:val="000000" w:themeColor="text1"/>
                <w:spacing w:val="0"/>
                <w:w w:val="100"/>
                <w:u w:val="none" w:color="auto"/>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w:t>
            </w:r>
            <w:r>
              <w:rPr>
                <w:rFonts w:ascii="Times New Roman" w:hAnsi="Times New Roman" w:eastAsia="Times New Roman" w:cs="Times New Roman"/>
                <w:color w:val="000000" w:themeColor="text1"/>
                <w:spacing w:val="0"/>
                <w:w w:val="100"/>
                <w:u w:val="none" w:color="auto"/>
                <w14:textFill>
                  <w14:solidFill>
                    <w14:schemeClr w14:val="tx1"/>
                  </w14:solidFill>
                </w14:textFill>
              </w:rPr>
              <w:t>5</w:t>
            </w:r>
            <w:r>
              <w:rPr>
                <w:rFonts w:ascii="Times New Roman" w:hAnsi="Times New Roman"/>
                <w:color w:val="000000" w:themeColor="text1"/>
                <w:spacing w:val="0"/>
                <w:w w:val="100"/>
                <w:u w:val="none" w:color="auto"/>
                <w14:textFill>
                  <w14:solidFill>
                    <w14:schemeClr w14:val="tx1"/>
                  </w14:solidFill>
                </w14:textFill>
              </w:rPr>
              <w:t>）环保设施故障风险措施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确保废气末端治理设施日常正常稳定运行，避免超标排放等突发环境事件的发生，必须要加强废气治理设施的维护和管理。如发现人为原因不开启废气等末端治理措施，责任人应受行政和经济处罚，并承担事故排放责任及相应的法律责任。为确保处理效果，在车间设备检修期间，末端处理系统也应同时进行检修，日常安排专人负责进行维护。</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color w:val="000000" w:themeColor="text1"/>
                <w:spacing w:val="0"/>
                <w:w w:val="100"/>
                <w:u w:val="none" w:color="auto"/>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w:t>
            </w:r>
            <w:r>
              <w:rPr>
                <w:rFonts w:ascii="Times New Roman" w:hAnsi="Times New Roman" w:eastAsia="Times New Roman" w:cs="Times New Roman"/>
                <w:color w:val="000000" w:themeColor="text1"/>
                <w:spacing w:val="0"/>
                <w:w w:val="100"/>
                <w:u w:val="none" w:color="auto"/>
                <w14:textFill>
                  <w14:solidFill>
                    <w14:schemeClr w14:val="tx1"/>
                  </w14:solidFill>
                </w14:textFill>
              </w:rPr>
              <w:t>6</w:t>
            </w:r>
            <w:r>
              <w:rPr>
                <w:rFonts w:ascii="Times New Roman" w:hAnsi="Times New Roman"/>
                <w:color w:val="000000" w:themeColor="text1"/>
                <w:spacing w:val="0"/>
                <w:w w:val="100"/>
                <w:u w:val="none" w:color="auto"/>
                <w14:textFill>
                  <w14:solidFill>
                    <w14:schemeClr w14:val="tx1"/>
                  </w14:solidFill>
                </w14:textFill>
              </w:rPr>
              <w:t>）火灾事故防范措施</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①危废贮存仓库内禁火，并设置禁火警示标识，加强职工的消防和安全意识培训。</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②进入库内工作人员严禁携带打火机、火柴，不准使用能产生火花的工具；安装避雷及导除静电设施，对进入作业区的人员严格采取消除静电措施；仓库内电气设备使用防爆电气设备。</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③各仓储配套设备选用合格产品，并进行定期检查、保养、维修。</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④设置消防通道，按规定配备各种移动式小型灭火设备（干粉灭火器）；在危险废物贮存区域设置可燃气体检测报警仪；设置火灾报警系统。</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eastAsia" w:ascii="Times New Roman" w:hAnsi="Times New Roman" w:eastAsia="宋体"/>
                <w:color w:val="000000" w:themeColor="text1"/>
                <w:spacing w:val="0"/>
                <w:w w:val="100"/>
                <w:u w:val="none" w:color="auto"/>
                <w:lang w:eastAsia="zh-CN"/>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⑤风机故障或停电导致危废仓库内的废气不能及时排出时，停止接收危险废物并及时将危废贮存仓库内产生挥发性气体的危险废物运至危险废物处置单位进行安全处置。防止危废贮存仓库内有机气体聚集发生爆炸风险。</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ascii="Times New Roman" w:hAnsi="Times New Roman"/>
                <w:color w:val="000000" w:themeColor="text1"/>
                <w:spacing w:val="0"/>
                <w:w w:val="100"/>
                <w:u w:val="none" w:color="auto"/>
                <w14:textFill>
                  <w14:solidFill>
                    <w14:schemeClr w14:val="tx1"/>
                  </w14:solidFill>
                </w14:textFill>
              </w:rPr>
            </w:pPr>
            <w:r>
              <w:rPr>
                <w:rFonts w:ascii="Times New Roman" w:hAnsi="Times New Roman"/>
                <w:color w:val="000000" w:themeColor="text1"/>
                <w:spacing w:val="0"/>
                <w:w w:val="100"/>
                <w:u w:val="none" w:color="auto"/>
                <w14:textFill>
                  <w14:solidFill>
                    <w14:schemeClr w14:val="tx1"/>
                  </w14:solidFill>
                </w14:textFill>
              </w:rPr>
              <w:t>⑥各类危险废物结合防火分区和物料特性分类存放，仓库内配备足够数量的消防灭火器材，仓库内建筑隔断材料均选用耐火不燃材料，外露钢构件涂刷防火涂料，并达到相应的耐火极限要求，对任何穿越防火墙处空隙，采用同样等级的防火封堵材料进行封堵。</w:t>
            </w:r>
          </w:p>
          <w:p>
            <w:pPr>
              <w:pStyle w:val="56"/>
              <w:keepNext w:val="0"/>
              <w:keepLines w:val="0"/>
              <w:pageBreakBefore w:val="0"/>
              <w:widowControl w:val="0"/>
              <w:kinsoku/>
              <w:wordWrap w:val="0"/>
              <w:overflowPunct/>
              <w:topLinePunct w:val="0"/>
              <w:autoSpaceDE/>
              <w:autoSpaceDN/>
              <w:bidi w:val="0"/>
              <w:adjustRightInd/>
              <w:snapToGrid/>
              <w:spacing w:line="500" w:lineRule="exact"/>
              <w:ind w:right="0"/>
              <w:jc w:val="both"/>
              <w:textAlignment w:val="auto"/>
              <w:rPr>
                <w:rFonts w:hint="default" w:ascii="Times New Roman" w:hAnsi="Times New Roman" w:eastAsia="宋体" w:cs="Times New Roman"/>
                <w:b/>
                <w:bCs/>
                <w:color w:val="000000" w:themeColor="text1"/>
                <w:spacing w:val="0"/>
                <w:w w:val="100"/>
                <w:u w:val="none" w:color="auto"/>
                <w:lang w:val="en-US" w:eastAsia="zh-CN"/>
                <w14:textFill>
                  <w14:solidFill>
                    <w14:schemeClr w14:val="tx1"/>
                  </w14:solidFill>
                </w14:textFill>
              </w:rPr>
            </w:pPr>
            <w:r>
              <w:rPr>
                <w:rFonts w:hint="default" w:ascii="Times New Roman" w:hAnsi="Times New Roman" w:cs="Times New Roman"/>
                <w:b/>
                <w:bCs/>
                <w:color w:val="000000" w:themeColor="text1"/>
                <w:spacing w:val="0"/>
                <w:w w:val="100"/>
                <w:u w:val="none" w:color="auto"/>
                <w:lang w:val="en-US" w:eastAsia="zh-CN"/>
                <w14:textFill>
                  <w14:solidFill>
                    <w14:schemeClr w14:val="tx1"/>
                  </w14:solidFill>
                </w14:textFill>
              </w:rPr>
              <w:t>4.6.4 应急处置措施</w:t>
            </w:r>
          </w:p>
          <w:p>
            <w:pPr>
              <w:keepLines w:val="0"/>
              <w:pageBreakBefore w:val="0"/>
              <w:kinsoku/>
              <w:wordWrap w:val="0"/>
              <w:topLinePunct w:val="0"/>
              <w:bidi w:val="0"/>
              <w:spacing w:line="520" w:lineRule="exact"/>
              <w:ind w:firstLine="480" w:firstLineChars="200"/>
              <w:rPr>
                <w:rFonts w:hint="default" w:ascii="Times New Roman" w:hAnsi="Times New Roman" w:eastAsia="宋体"/>
                <w:color w:val="000000" w:themeColor="text1"/>
                <w:sz w:val="24"/>
                <w:lang w:val="en-US" w:eastAsia="zh-CN"/>
                <w14:textFill>
                  <w14:solidFill>
                    <w14:schemeClr w14:val="tx1"/>
                  </w14:solidFill>
                </w14:textFill>
              </w:rPr>
            </w:pP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1</w:t>
            </w:r>
            <w:r>
              <w:rPr>
                <w:rFonts w:hint="eastAsia" w:ascii="Times New Roman" w:hAnsi="Times New Roman"/>
                <w:color w:val="000000" w:themeColor="text1"/>
                <w:sz w:val="24"/>
                <w:lang w:eastAsia="zh-CN"/>
                <w14:textFill>
                  <w14:solidFill>
                    <w14:schemeClr w14:val="tx1"/>
                  </w14:solidFill>
                </w14:textFill>
              </w:rPr>
              <w:t>）</w:t>
            </w:r>
            <w:r>
              <w:rPr>
                <w:rFonts w:hint="eastAsia" w:ascii="Times New Roman" w:hAnsi="Times New Roman"/>
                <w:color w:val="000000" w:themeColor="text1"/>
                <w:sz w:val="24"/>
                <w:lang w:val="en-US" w:eastAsia="zh-CN"/>
                <w14:textFill>
                  <w14:solidFill>
                    <w14:schemeClr w14:val="tx1"/>
                  </w14:solidFill>
                </w14:textFill>
              </w:rPr>
              <w:t>泄露应急处理</w:t>
            </w:r>
          </w:p>
          <w:p>
            <w:pPr>
              <w:pStyle w:val="56"/>
              <w:keepNext w:val="0"/>
              <w:keepLines w:val="0"/>
              <w:pageBreakBefore w:val="0"/>
              <w:widowControl w:val="0"/>
              <w:tabs>
                <w:tab w:val="left" w:pos="235"/>
              </w:tabs>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①如果贮存区半固态或液态危险废物发生泄漏事故，应立即将容器中剩余液体转入其他专用容器内；对于泄露的半固体物质，可采取人工收集方式（铁铲和扫帚）进行收集；对于少量泄露的液态物质，可采用吸油棉等具有吸附能力的介质进行吸附；对于大量泄露的液态物质，首先采用泵抽至事故应急池内，然后采用吸油棉等具有吸附能力的介质进行吸附；吸附危险废物后的物质纳入危险废物进行处置；最后对泄露地面用水进行冲洗，冲洗废水经收集沟收集引至废液收集池进行集中收集，作为危险废物委外处置。</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②设立事故警戒线，启动应急预案，并按《环境保护行政主管部门突发环境事件信息报告办法（试行）》（环发[2006]50号）要求进行报告。</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③若造成事故的危险废物具有剧毒性、易燃性、爆炸性或高传染性，应立即疏散人群，并请求环境保护、消防、医疗、公安等相关部门支援。</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④对事故现场受到污染的土壤和水体等环境介质应进行相应的清理和修复。</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⑤清理过程中产生的所有废物均应按危险废物进行管理和处置。</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⑥进入现场清理和包装危险废物的人员应受过专业培训，穿着防护服，并佩戴相应的防护用具</w:t>
            </w:r>
            <w:r>
              <w:rPr>
                <w:rFonts w:hint="default" w:ascii="Times New Roman" w:hAnsi="Times New Roman" w:cs="Times New Roman"/>
                <w:color w:val="000000" w:themeColor="text1"/>
                <w:spacing w:val="0"/>
                <w:w w:val="100"/>
                <w:sz w:val="24"/>
                <w:szCs w:val="24"/>
                <w:u w:val="none" w:color="auto"/>
                <w:lang w:eastAsia="zh-CN"/>
                <w14:textFill>
                  <w14:solidFill>
                    <w14:schemeClr w14:val="tx1"/>
                  </w14:solidFill>
                </w14:textFill>
              </w:rPr>
              <w:t>。</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⑦泄漏容器要妥善处理，修复、检验后再用。</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⑧设置可燃/有毒气体探测器，以检测设备泄漏及空气中可燃或有毒有害气体浓度。</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w w:val="100"/>
                <w:sz w:val="24"/>
                <w:szCs w:val="24"/>
                <w:u w:val="none" w:color="auto"/>
                <w14:textFill>
                  <w14:solidFill>
                    <w14:schemeClr w14:val="tx1"/>
                  </w14:solidFill>
                </w14:textFill>
              </w:rPr>
              <w:t>⑨危险废物泄漏导致有毒有害气体挥发扩散时，环境风险防范区内的人群应作为紧急撤离目标，并确保能够在60min内撤离至安全地点；现场紧急撤离时，应按照事故现场风向、周边居民分布及公众对毒物应急剂量控制的规定，制定人员紧急撤离、疏散计划和医疗救护方案。同时厂内需要在高点设立明显的风向标，确定安全疏散路线。事故发生后，应根据有毒有害气体的扩散情况及时通知政府相关部门，并通过厂区高音喇叭通知周边人群及时疏散。紧急疏散时应注意：</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A.必要时采取佩戴呼吸器具、佩戴个人防护用品或采用其他简易有效的防护措施（戴防护眼镜或用浸湿毛巾捂住口鼻、减少皮肤外露等各种措施进行自身防护）。</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B.应向上风向、高地势转移，迅速撤出危险区域可能受到危害的人员（在上风向无撤离通道时，也应避免沿下风向撤离），并由专人引导和护送疏散人员到安全区域，在疏散或撤离的路线上设立哨位，指明疏散、撤离的方向。</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C.按照设定的危险区域，设立警戒线，并在通往事故现场的主要干道上实行交通管制。</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D.在污染区域和可能污染区域立即进行布点监测，根据监测数据及时调整疏散范围。</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E.为受灾群众提供避难场所以及必要的基本生活保障，配合政府部门进行受灾群众的医疗救助、疾病控制、生活救助。</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（2）着火应急处理</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①灭火方法：本项目中转贮存的危险废物部分具有易燃性，若发生火灾事故，应根据着火物质的特性，采用CO</w:t>
            </w:r>
            <w:r>
              <w:rPr>
                <w:rFonts w:hint="default" w:ascii="Times New Roman" w:hAnsi="Times New Roman" w:eastAsia="宋体" w:cs="Times New Roman"/>
                <w:color w:val="000000" w:themeColor="text1"/>
                <w:spacing w:val="0"/>
                <w:position w:val="-1"/>
                <w:sz w:val="24"/>
                <w:szCs w:val="24"/>
                <w:u w:val="none" w:color="auto"/>
                <w:vertAlign w:val="subscript"/>
                <w14:textFill>
                  <w14:solidFill>
                    <w14:schemeClr w14:val="tx1"/>
                  </w14:solidFill>
                </w14:textFill>
              </w:rPr>
              <w:t>2</w:t>
            </w: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灭火器、沙土和水等进行灭火。</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②冷却和疏散受火势威胁的密闭容器和可燃物，控制燃烧范围，并积极抢救受伤和被困人员。</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③通知环保、安全等相关部门人员，启动应急救护程序。</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④组织救援小组，封锁现场，疏散人员。</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⑤灭火工作结束后，对现场进行恢复清理，对环境可能受到污染范围内的空气、水样、土壤进行取样监测，判定污染影响程度和采取必要的处理。</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⑥调查和鉴定事故原因，提出事故评估报告，补充和修改事故防范措施和应急方案。</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lang w:val="en-US" w:eastAsia="zh-CN"/>
                <w14:textFill>
                  <w14:solidFill>
                    <w14:schemeClr w14:val="tx1"/>
                  </w14:solidFill>
                </w14:textFill>
              </w:rPr>
            </w:pPr>
            <w:r>
              <w:rPr>
                <w:rFonts w:hint="eastAsia" w:ascii="Times New Roman" w:hAnsi="Times New Roman" w:cs="Times New Roman"/>
                <w:color w:val="000000" w:themeColor="text1"/>
                <w:spacing w:val="0"/>
                <w:sz w:val="24"/>
                <w:szCs w:val="24"/>
                <w:u w:val="none" w:color="auto"/>
                <w:lang w:eastAsia="zh-CN"/>
                <w14:textFill>
                  <w14:solidFill>
                    <w14:schemeClr w14:val="tx1"/>
                  </w14:solidFill>
                </w14:textFill>
              </w:rPr>
              <w:t>（</w:t>
            </w:r>
            <w:r>
              <w:rPr>
                <w:rFonts w:hint="eastAsia" w:ascii="Times New Roman" w:hAnsi="Times New Roman" w:cs="Times New Roman"/>
                <w:color w:val="000000" w:themeColor="text1"/>
                <w:spacing w:val="0"/>
                <w:sz w:val="24"/>
                <w:szCs w:val="24"/>
                <w:u w:val="none" w:color="auto"/>
                <w:lang w:val="en-US" w:eastAsia="zh-CN"/>
                <w14:textFill>
                  <w14:solidFill>
                    <w14:schemeClr w14:val="tx1"/>
                  </w14:solidFill>
                </w14:textFill>
              </w:rPr>
              <w:t>3</w:t>
            </w:r>
            <w:r>
              <w:rPr>
                <w:rFonts w:hint="eastAsia" w:ascii="Times New Roman" w:hAnsi="Times New Roman" w:cs="Times New Roman"/>
                <w:color w:val="000000" w:themeColor="text1"/>
                <w:spacing w:val="0"/>
                <w:sz w:val="24"/>
                <w:szCs w:val="24"/>
                <w:u w:val="none" w:color="auto"/>
                <w:lang w:eastAsia="zh-CN"/>
                <w14:textFill>
                  <w14:solidFill>
                    <w14:schemeClr w14:val="tx1"/>
                  </w14:solidFill>
                </w14:textFill>
              </w:rPr>
              <w:t>）</w:t>
            </w:r>
            <w:r>
              <w:rPr>
                <w:rFonts w:hint="eastAsia" w:ascii="Times New Roman" w:hAnsi="Times New Roman" w:cs="Times New Roman"/>
                <w:color w:val="000000" w:themeColor="text1"/>
                <w:spacing w:val="0"/>
                <w:sz w:val="24"/>
                <w:szCs w:val="24"/>
                <w:u w:val="none" w:color="auto"/>
                <w:lang w:val="en-US" w:eastAsia="zh-CN"/>
                <w14:textFill>
                  <w14:solidFill>
                    <w14:schemeClr w14:val="tx1"/>
                  </w14:solidFill>
                </w14:textFill>
              </w:rPr>
              <w:t>风险应急监测</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发生突发环境事件时，由企业根据事件性质、涉及的物料等组织调度附近具有监测能力的监测队伍，立即赶赴现场，在企业（或事业）单位环境应急监测小组配合下根据实际情况，迅速确定监测方案（包括监测布点、频次、项目和方法等），及时开展针对突发环境事件的应急监测工作，在尽可能短的时间内，用小型、便携、简易的仪器对污染物质种类、浓度和污染的范围及其可能的危害做出判断，根据监测结果，综合分析突发环境事件污染变化趋势，并通过专家咨询和讨论的方式，预测并报告突发环境事件的发展情况和污染物的变化情况，作为突发环境事件应急决策的依据。</w:t>
            </w:r>
          </w:p>
          <w:p>
            <w:pPr>
              <w:pStyle w:val="56"/>
              <w:keepNext w:val="0"/>
              <w:keepLines w:val="0"/>
              <w:pageBreakBefore w:val="0"/>
              <w:widowControl w:val="0"/>
              <w:kinsoku/>
              <w:wordWrap w:val="0"/>
              <w:overflowPunct/>
              <w:topLinePunct w:val="0"/>
              <w:autoSpaceDE/>
              <w:autoSpaceDN/>
              <w:bidi w:val="0"/>
              <w:adjustRightInd/>
              <w:snapToGrid/>
              <w:spacing w:line="500" w:lineRule="exact"/>
              <w:ind w:right="0"/>
              <w:textAlignment w:val="auto"/>
              <w:rPr>
                <w:rFonts w:hint="default" w:ascii="Times New Roman" w:hAnsi="Times New Roman" w:eastAsia="宋体" w:cs="Times New Roman"/>
                <w:b/>
                <w:bCs/>
                <w:color w:val="000000" w:themeColor="text1"/>
                <w:spacing w:val="0"/>
                <w:sz w:val="24"/>
                <w:szCs w:val="24"/>
                <w:u w:val="none" w:color="auto"/>
                <w:lang w:val="en-US" w:eastAsia="zh-CN"/>
                <w14:textFill>
                  <w14:solidFill>
                    <w14:schemeClr w14:val="tx1"/>
                  </w14:solidFill>
                </w14:textFill>
              </w:rPr>
            </w:pPr>
            <w:r>
              <w:rPr>
                <w:rFonts w:hint="eastAsia" w:ascii="Times New Roman" w:hAnsi="Times New Roman" w:cs="Times New Roman"/>
                <w:b/>
                <w:bCs/>
                <w:color w:val="000000" w:themeColor="text1"/>
                <w:spacing w:val="0"/>
                <w:sz w:val="24"/>
                <w:szCs w:val="24"/>
                <w:u w:val="none" w:color="auto"/>
                <w:lang w:val="en-US" w:eastAsia="zh-CN"/>
                <w14:textFill>
                  <w14:solidFill>
                    <w14:schemeClr w14:val="tx1"/>
                  </w14:solidFill>
                </w14:textFill>
              </w:rPr>
              <w:t>4.6.5 事故池设置</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在发生火灾、爆炸、泄漏事故时，为了确保该企业在事故状态下的各类废水不流入附近水体，对该厂区的事故应急池容积进行估算。事故应急池（事故废水收集池）的总容量应考虑该区域初期雨水、事故状态下的消防用水总量、泄漏的物料量并扣除围堰内可暂存的物料量等方面的因素。</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eastAsia="宋体" w:cs="Times New Roman"/>
                <w:color w:val="000000" w:themeColor="text1"/>
                <w:spacing w:val="0"/>
                <w:sz w:val="24"/>
                <w:szCs w:val="24"/>
                <w:u w:val="none" w:color="auto"/>
                <w:lang w:val="en-US"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（1）收集系统范围内发生事故的一个罐组或一套装置的物料量，V1=120m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eastAsia" w:ascii="Times New Roman" w:hAnsi="Times New Roman" w:eastAsia="宋体" w:cs="Times New Roman"/>
                <w:color w:val="000000" w:themeColor="text1"/>
                <w:spacing w:val="0"/>
                <w:sz w:val="24"/>
                <w:szCs w:val="24"/>
                <w:u w:val="none" w:color="auto"/>
                <w:lang w:eastAsia="zh-CN"/>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（2）事故状态下的消防用水总量估算：</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本环评按一般消防水泵的流量20L/S计算，消防时间按0.3h，则本项目最大一次消防用水量为V2=21.6m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（3）发生事故时可以转输到其他储存或处理设施的物料量V3=50m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（4）发生事故时仍必须进入该收集系统的生产废水量，V4=0m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（5）初期雨水量V5：室内贮存，取0m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p>
          <w:p>
            <w:pPr>
              <w:pStyle w:val="56"/>
              <w:keepNext w:val="0"/>
              <w:keepLines w:val="0"/>
              <w:pageBreakBefore w:val="0"/>
              <w:widowControl w:val="0"/>
              <w:tabs>
                <w:tab w:val="left" w:pos="715"/>
              </w:tabs>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（6）V总=120+21.6-50+0+0=91.6m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textAlignment w:val="auto"/>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pP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经计算，需设置的应急事故池容积需大于91.6m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，则</w:t>
            </w:r>
            <w:r>
              <w:rPr>
                <w:rFonts w:hint="eastAsia" w:ascii="Times New Roman" w:hAnsi="Times New Roman" w:cs="Times New Roman"/>
                <w:color w:val="000000" w:themeColor="text1"/>
                <w:spacing w:val="0"/>
                <w:sz w:val="24"/>
                <w:szCs w:val="24"/>
                <w:u w:val="none" w:color="auto"/>
                <w:lang w:val="en-US" w:eastAsia="zh-CN"/>
                <w14:textFill>
                  <w14:solidFill>
                    <w14:schemeClr w14:val="tx1"/>
                  </w14:solidFill>
                </w14:textFill>
              </w:rPr>
              <w:t>建议</w:t>
            </w: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本项目事故池容积为设置为100m</w:t>
            </w:r>
            <w:r>
              <w:rPr>
                <w:rFonts w:hint="eastAsia" w:ascii="Times New Roman" w:hAnsi="Times New Roman" w:eastAsia="宋体" w:cs="Times New Roman"/>
                <w:color w:val="000000" w:themeColor="text1"/>
                <w:spacing w:val="0"/>
                <w:sz w:val="24"/>
                <w:szCs w:val="24"/>
                <w:u w:val="none" w:color="auto"/>
                <w:vertAlign w:val="superscript"/>
                <w:lang w:val="en-US" w:eastAsia="zh-CN"/>
                <w14:textFill>
                  <w14:solidFill>
                    <w14:schemeClr w14:val="tx1"/>
                  </w14:solidFill>
                </w14:textFill>
              </w:rPr>
              <w:t>3</w:t>
            </w:r>
            <w:r>
              <w:rPr>
                <w:rFonts w:hint="default" w:ascii="Times New Roman" w:hAnsi="Times New Roman" w:eastAsia="宋体" w:cs="Times New Roman"/>
                <w:color w:val="000000" w:themeColor="text1"/>
                <w:spacing w:val="0"/>
                <w:sz w:val="24"/>
                <w:szCs w:val="24"/>
                <w:u w:val="none" w:color="auto"/>
                <w14:textFill>
                  <w14:solidFill>
                    <w14:schemeClr w14:val="tx1"/>
                  </w14:solidFill>
                </w14:textFill>
              </w:rPr>
              <w:t>。</w:t>
            </w:r>
          </w:p>
          <w:p>
            <w:pPr>
              <w:pStyle w:val="56"/>
              <w:keepNext w:val="0"/>
              <w:keepLines w:val="0"/>
              <w:pageBreakBefore w:val="0"/>
              <w:widowControl w:val="0"/>
              <w:kinsoku/>
              <w:wordWrap w:val="0"/>
              <w:overflowPunct/>
              <w:topLinePunct w:val="0"/>
              <w:autoSpaceDE/>
              <w:autoSpaceDN/>
              <w:bidi w:val="0"/>
              <w:adjustRightInd/>
              <w:snapToGrid/>
              <w:spacing w:line="500" w:lineRule="exact"/>
              <w:ind w:right="0"/>
              <w:textAlignment w:val="auto"/>
              <w:rPr>
                <w:rFonts w:hint="default" w:ascii="Times New Roman" w:hAnsi="Times New Roman" w:eastAsia="宋体" w:cs="Times New Roman"/>
                <w:b/>
                <w:bCs/>
                <w:color w:val="000000" w:themeColor="text1"/>
                <w:spacing w:val="0"/>
                <w:sz w:val="24"/>
                <w:szCs w:val="24"/>
                <w:u w:val="none" w:color="auto"/>
                <w:lang w:val="en-US" w:eastAsia="zh-CN"/>
                <w14:textFill>
                  <w14:solidFill>
                    <w14:schemeClr w14:val="tx1"/>
                  </w14:solidFill>
                </w14:textFill>
              </w:rPr>
            </w:pPr>
            <w:r>
              <w:rPr>
                <w:rFonts w:hint="eastAsia" w:ascii="Times New Roman" w:hAnsi="Times New Roman" w:cs="Times New Roman"/>
                <w:b/>
                <w:bCs/>
                <w:color w:val="000000" w:themeColor="text1"/>
                <w:spacing w:val="0"/>
                <w:sz w:val="24"/>
                <w:szCs w:val="24"/>
                <w:u w:val="none" w:color="auto"/>
                <w:lang w:val="en-US" w:eastAsia="zh-CN"/>
                <w14:textFill>
                  <w14:solidFill>
                    <w14:schemeClr w14:val="tx1"/>
                  </w14:solidFill>
                </w14:textFill>
              </w:rPr>
              <w:t>4.6 6 应急预案</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default" w:ascii="Times New Roman" w:hAnsi="Times New Roman" w:eastAsia="宋体" w:cs="Times New Roman"/>
                <w:color w:val="000000" w:themeColor="text1"/>
                <w:spacing w:val="0"/>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按照《河南省环境保护厅关于印发河南省企业事业单位突发环境事件应急预案备案管理办法（试行）的通知》（豫环文[2015]116号文）要求，本项目在运行过程中，涉及到使用危险化学品，如若发生突发环境污染事故，将对周边环境和人员造成影响。因此，要求其编制突发环境事件应急预案，以提高自身应急能力，完善应急人员、设备、设施等，有效地处置突发环境事件，减少环境事故造成的人员和财产损失，降低突发环境事件对厂区和社会造成的不良影响。</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default" w:ascii="Times New Roman" w:hAnsi="Times New Roman" w:eastAsia="宋体" w:cs="Times New Roman"/>
                <w:color w:val="000000" w:themeColor="text1"/>
                <w:spacing w:val="0"/>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应急预案编制严格参照国家环保部《突发环境事件应急预案管理办法》（2015年部令34号文）、《河南省环境风险源企业环境应急预案编制指南（试行）》、《河南省企业事业单位突发环境事件应急预案备案管理办法（试行）》及《河南省环境保护厅关于进一步加强突发环境事件应急预案管理工作的通知》（豫环文[2018]57号）的规定进行。</w:t>
            </w:r>
          </w:p>
          <w:p>
            <w:pPr>
              <w:pStyle w:val="56"/>
              <w:keepNext w:val="0"/>
              <w:keepLines w:val="0"/>
              <w:pageBreakBefore w:val="0"/>
              <w:widowControl w:val="0"/>
              <w:kinsoku/>
              <w:wordWrap w:val="0"/>
              <w:overflowPunct/>
              <w:topLinePunct w:val="0"/>
              <w:autoSpaceDE/>
              <w:autoSpaceDN/>
              <w:bidi w:val="0"/>
              <w:adjustRightInd/>
              <w:snapToGrid/>
              <w:spacing w:line="500" w:lineRule="exact"/>
              <w:ind w:left="0" w:right="0" w:firstLine="480" w:firstLineChars="200"/>
              <w:jc w:val="both"/>
              <w:textAlignment w:val="auto"/>
              <w:rPr>
                <w:rFonts w:hint="default" w:ascii="Times New Roman" w:hAnsi="Times New Roman" w:eastAsia="宋体" w:cs="Times New Roman"/>
                <w:color w:val="000000" w:themeColor="text1"/>
                <w:spacing w:val="0"/>
                <w:position w:val="0"/>
                <w:sz w:val="24"/>
                <w:szCs w:val="24"/>
                <w14:textFill>
                  <w14:solidFill>
                    <w14:schemeClr w14:val="tx1"/>
                  </w14:solidFill>
                </w14:textFill>
              </w:rPr>
            </w:pPr>
            <w:r>
              <w:rPr>
                <w:rFonts w:hint="default" w:ascii="Times New Roman" w:hAnsi="Times New Roman" w:eastAsia="宋体" w:cs="Times New Roman"/>
                <w:color w:val="000000" w:themeColor="text1"/>
                <w:spacing w:val="0"/>
                <w:position w:val="0"/>
                <w:sz w:val="24"/>
                <w:szCs w:val="24"/>
                <w14:textFill>
                  <w14:solidFill>
                    <w14:schemeClr w14:val="tx1"/>
                  </w14:solidFill>
                </w14:textFill>
              </w:rPr>
              <w:t>项目在按照相关的规范合理设计、安装的前提下，严格落实本评价提出的环境风险防范应急措施，加强管理，可最大限度地减少可能发生的环境风险。</w:t>
            </w:r>
          </w:p>
          <w:p>
            <w:pPr>
              <w:keepLines w:val="0"/>
              <w:pageBreakBefore w:val="0"/>
              <w:kinsoku/>
              <w:wordWrap w:val="0"/>
              <w:topLinePunct w:val="0"/>
              <w:bidi w:val="0"/>
              <w:spacing w:line="520" w:lineRule="exact"/>
              <w:rPr>
                <w:rFonts w:ascii="Times New Roman" w:hAnsi="Times New Roman"/>
                <w:b/>
                <w:color w:val="000000" w:themeColor="text1"/>
                <w:sz w:val="24"/>
                <w:szCs w:val="20"/>
                <w14:textFill>
                  <w14:solidFill>
                    <w14:schemeClr w14:val="tx1"/>
                  </w14:solidFill>
                </w14:textFill>
              </w:rPr>
            </w:pPr>
            <w:r>
              <w:rPr>
                <w:rFonts w:ascii="Times New Roman" w:hAnsi="Times New Roman"/>
                <w:b/>
                <w:color w:val="000000" w:themeColor="text1"/>
                <w:sz w:val="24"/>
                <w:szCs w:val="20"/>
                <w14:textFill>
                  <w14:solidFill>
                    <w14:schemeClr w14:val="tx1"/>
                  </w14:solidFill>
                </w14:textFill>
              </w:rPr>
              <w:t>4.7</w:t>
            </w:r>
            <w:r>
              <w:rPr>
                <w:rFonts w:hint="eastAsia" w:ascii="Times New Roman" w:hAnsi="Times New Roman"/>
                <w:b/>
                <w:color w:val="000000" w:themeColor="text1"/>
                <w:sz w:val="24"/>
                <w:szCs w:val="20"/>
                <w:lang w:val="en-US" w:eastAsia="zh-CN"/>
                <w14:textFill>
                  <w14:solidFill>
                    <w14:schemeClr w14:val="tx1"/>
                  </w14:solidFill>
                </w14:textFill>
              </w:rPr>
              <w:t xml:space="preserve"> </w:t>
            </w:r>
            <w:r>
              <w:rPr>
                <w:rFonts w:hint="eastAsia" w:ascii="Times New Roman" w:hAnsi="Times New Roman"/>
                <w:b/>
                <w:color w:val="000000" w:themeColor="text1"/>
                <w:sz w:val="24"/>
                <w:szCs w:val="20"/>
                <w14:textFill>
                  <w14:solidFill>
                    <w14:schemeClr w14:val="tx1"/>
                  </w14:solidFill>
                </w14:textFill>
              </w:rPr>
              <w:t>环保投资估算及三同时验收</w:t>
            </w:r>
          </w:p>
          <w:p>
            <w:pPr>
              <w:keepLines w:val="0"/>
              <w:pageBreakBefore w:val="0"/>
              <w:kinsoku/>
              <w:wordWrap w:val="0"/>
              <w:topLinePunct w:val="0"/>
              <w:bidi w:val="0"/>
              <w:spacing w:line="520" w:lineRule="exact"/>
              <w:ind w:firstLine="480" w:firstLineChars="200"/>
              <w:rPr>
                <w:rFonts w:hint="eastAsia" w:ascii="Times New Roman" w:hAnsi="Times New Roman"/>
                <w:color w:val="000000" w:themeColor="text1"/>
                <w:sz w:val="24"/>
                <w14:textFill>
                  <w14:solidFill>
                    <w14:schemeClr w14:val="tx1"/>
                  </w14:solidFill>
                </w14:textFill>
              </w:rPr>
            </w:pPr>
            <w:r>
              <w:rPr>
                <w:rFonts w:hint="eastAsia" w:ascii="Times New Roman" w:hAnsi="Times New Roman"/>
                <w:color w:val="000000" w:themeColor="text1"/>
                <w:sz w:val="24"/>
                <w:lang w:val="en-US" w:eastAsia="zh-CN"/>
                <w14:textFill>
                  <w14:solidFill>
                    <w14:schemeClr w14:val="tx1"/>
                  </w14:solidFill>
                </w14:textFill>
              </w:rPr>
              <w:t>本项目总投资为4000万元，其中环保投资80万元，占项目总投资的2%。本项目</w:t>
            </w:r>
            <w:r>
              <w:rPr>
                <w:rFonts w:hint="eastAsia" w:ascii="Times New Roman" w:hAnsi="Times New Roman"/>
                <w:color w:val="000000" w:themeColor="text1"/>
                <w:sz w:val="24"/>
                <w14:textFill>
                  <w14:solidFill>
                    <w14:schemeClr w14:val="tx1"/>
                  </w14:solidFill>
                </w14:textFill>
              </w:rPr>
              <w:t>环保“三同时”验收</w:t>
            </w:r>
            <w:r>
              <w:rPr>
                <w:rFonts w:hint="eastAsia" w:ascii="Times New Roman" w:hAnsi="Times New Roman"/>
                <w:color w:val="000000" w:themeColor="text1"/>
                <w:sz w:val="24"/>
                <w:lang w:val="en-US" w:eastAsia="zh-CN"/>
                <w14:textFill>
                  <w14:solidFill>
                    <w14:schemeClr w14:val="tx1"/>
                  </w14:solidFill>
                </w14:textFill>
              </w:rPr>
              <w:t>设施一览表见下表</w:t>
            </w:r>
            <w:r>
              <w:rPr>
                <w:rFonts w:hint="eastAsia" w:ascii="Times New Roman" w:hAnsi="Times New Roman"/>
                <w:color w:val="000000" w:themeColor="text1"/>
                <w:sz w:val="24"/>
                <w14:textFill>
                  <w14:solidFill>
                    <w14:schemeClr w14:val="tx1"/>
                  </w14:solidFill>
                </w14:textFill>
              </w:rPr>
              <w:t>。</w:t>
            </w:r>
          </w:p>
          <w:p>
            <w:pPr>
              <w:keepLines w:val="0"/>
              <w:pageBreakBefore w:val="0"/>
              <w:kinsoku/>
              <w:wordWrap w:val="0"/>
              <w:topLinePunct w:val="0"/>
              <w:bidi w:val="0"/>
              <w:spacing w:line="240" w:lineRule="auto"/>
              <w:ind w:firstLine="422" w:firstLineChars="200"/>
              <w:jc w:val="center"/>
              <w:rPr>
                <w:rFonts w:hint="default" w:ascii="Times New Roman" w:hAnsi="Times New Roman" w:eastAsia="宋体"/>
                <w:b/>
                <w:bCs/>
                <w:color w:val="000000" w:themeColor="text1"/>
                <w:sz w:val="21"/>
                <w:szCs w:val="21"/>
                <w:lang w:val="en-US" w:eastAsia="zh-CN"/>
                <w14:textFill>
                  <w14:solidFill>
                    <w14:schemeClr w14:val="tx1"/>
                  </w14:solidFill>
                </w14:textFill>
              </w:rPr>
            </w:pPr>
            <w:r>
              <w:rPr>
                <w:rFonts w:hint="eastAsia" w:ascii="Times New Roman" w:hAnsi="Times New Roman"/>
                <w:b/>
                <w:bCs/>
                <w:color w:val="000000" w:themeColor="text1"/>
                <w:sz w:val="21"/>
                <w:szCs w:val="21"/>
                <w:lang w:val="en-US" w:eastAsia="zh-CN"/>
                <w14:textFill>
                  <w14:solidFill>
                    <w14:schemeClr w14:val="tx1"/>
                  </w14:solidFill>
                </w14:textFill>
              </w:rPr>
              <w:t>表4-14项目</w:t>
            </w:r>
            <w:r>
              <w:rPr>
                <w:rFonts w:hint="eastAsia" w:ascii="Times New Roman" w:hAnsi="Times New Roman"/>
                <w:b/>
                <w:bCs/>
                <w:color w:val="000000" w:themeColor="text1"/>
                <w:sz w:val="21"/>
                <w:szCs w:val="21"/>
                <w14:textFill>
                  <w14:solidFill>
                    <w14:schemeClr w14:val="tx1"/>
                  </w14:solidFill>
                </w14:textFill>
              </w:rPr>
              <w:t>环保“三同时”验收</w:t>
            </w:r>
            <w:r>
              <w:rPr>
                <w:rFonts w:hint="eastAsia" w:ascii="Times New Roman" w:hAnsi="Times New Roman"/>
                <w:b/>
                <w:bCs/>
                <w:color w:val="000000" w:themeColor="text1"/>
                <w:sz w:val="21"/>
                <w:szCs w:val="21"/>
                <w:lang w:val="en-US" w:eastAsia="zh-CN"/>
                <w14:textFill>
                  <w14:solidFill>
                    <w14:schemeClr w14:val="tx1"/>
                  </w14:solidFill>
                </w14:textFill>
              </w:rPr>
              <w:t>设施一览表</w:t>
            </w:r>
          </w:p>
          <w:tbl>
            <w:tblPr>
              <w:tblStyle w:val="19"/>
              <w:tblW w:w="4998" w:type="pct"/>
              <w:tblInd w:w="0" w:type="dxa"/>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420"/>
              <w:gridCol w:w="478"/>
              <w:gridCol w:w="822"/>
              <w:gridCol w:w="2487"/>
              <w:gridCol w:w="480"/>
              <w:gridCol w:w="2512"/>
              <w:gridCol w:w="744"/>
            </w:tblGrid>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类别</w:t>
                  </w:r>
                </w:p>
              </w:tc>
              <w:tc>
                <w:tcPr>
                  <w:tcW w:w="301"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污染源</w:t>
                  </w:r>
                </w:p>
              </w:tc>
              <w:tc>
                <w:tcPr>
                  <w:tcW w:w="516"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污染物</w:t>
                  </w:r>
                </w:p>
              </w:tc>
              <w:tc>
                <w:tcPr>
                  <w:tcW w:w="3448" w:type="pct"/>
                  <w:gridSpan w:val="3"/>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环保措施内容</w:t>
                  </w:r>
                </w:p>
              </w:tc>
              <w:tc>
                <w:tcPr>
                  <w:tcW w:w="468"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环保投资（万元）</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p>
              </w:tc>
              <w:tc>
                <w:tcPr>
                  <w:tcW w:w="301"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p>
              </w:tc>
              <w:tc>
                <w:tcPr>
                  <w:tcW w:w="516"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p>
              </w:tc>
              <w:tc>
                <w:tcPr>
                  <w:tcW w:w="1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设施名称</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规格数量</w:t>
                  </w:r>
                </w:p>
              </w:tc>
              <w:tc>
                <w:tcPr>
                  <w:tcW w:w="158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验收标准</w:t>
                  </w:r>
                </w:p>
              </w:tc>
              <w:tc>
                <w:tcPr>
                  <w:tcW w:w="468"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1844" w:hRule="atLeast"/>
              </w:trPr>
              <w:tc>
                <w:tcPr>
                  <w:tcW w:w="26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废气</w:t>
                  </w:r>
                </w:p>
              </w:tc>
              <w:tc>
                <w:tcPr>
                  <w:tcW w:w="30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有机废气</w:t>
                  </w:r>
                </w:p>
              </w:tc>
              <w:tc>
                <w:tcPr>
                  <w:tcW w:w="51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非甲烷总烃</w:t>
                  </w:r>
                </w:p>
              </w:tc>
              <w:tc>
                <w:tcPr>
                  <w:tcW w:w="1565"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HW08类危险废物贮存区二次密闭+负压抽风+活性炭吸附</w:t>
                  </w:r>
                  <w:r>
                    <w:rPr>
                      <w:rFonts w:hint="eastAsia" w:ascii="Times New Roman" w:hAnsi="Times New Roman" w:cs="Times New Roman"/>
                      <w:color w:val="000000" w:themeColor="text1"/>
                      <w:spacing w:val="0"/>
                      <w:position w:val="0"/>
                      <w:sz w:val="18"/>
                      <w:szCs w:val="18"/>
                      <w:lang w:val="en-US" w:eastAsia="zh-CN"/>
                      <w14:textFill>
                        <w14:solidFill>
                          <w14:schemeClr w14:val="tx1"/>
                        </w14:solidFill>
                      </w14:textFill>
                    </w:rPr>
                    <w:t>+催化燃烧</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+15m高排气筒</w:t>
                  </w:r>
                  <w:r>
                    <w:rPr>
                      <w:rFonts w:hint="eastAsia" w:ascii="Times New Roman" w:hAnsi="Times New Roman" w:cs="Times New Roman"/>
                      <w:color w:val="000000" w:themeColor="text1"/>
                      <w:spacing w:val="0"/>
                      <w:position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DA001</w:t>
                  </w:r>
                  <w:r>
                    <w:rPr>
                      <w:rFonts w:hint="eastAsia" w:ascii="Times New Roman" w:hAnsi="Times New Roman" w:cs="Times New Roman"/>
                      <w:color w:val="000000" w:themeColor="text1"/>
                      <w:spacing w:val="0"/>
                      <w:position w:val="0"/>
                      <w:sz w:val="18"/>
                      <w:szCs w:val="18"/>
                      <w:lang w:eastAsia="zh-CN"/>
                      <w14:textFill>
                        <w14:solidFill>
                          <w14:schemeClr w14:val="tx1"/>
                        </w14:solidFill>
                      </w14:textFill>
                    </w:rPr>
                    <w:t>）</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1套</w:t>
                  </w:r>
                </w:p>
              </w:tc>
              <w:tc>
                <w:tcPr>
                  <w:tcW w:w="1580"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《大气污染物综合排放标准》（GB16297-1996）表2、《关于全省开展工业企业挥发性有机物专项治理工作中排放建议值的通知》（豫环攻坚办〔2017〕162号）</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3</w:t>
                  </w: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p>
              </w:tc>
              <w:tc>
                <w:tcPr>
                  <w:tcW w:w="30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酸雾废气</w:t>
                  </w:r>
                </w:p>
              </w:tc>
              <w:tc>
                <w:tcPr>
                  <w:tcW w:w="51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硫酸雾</w:t>
                  </w:r>
                </w:p>
              </w:tc>
              <w:tc>
                <w:tcPr>
                  <w:tcW w:w="1565"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s="Times New Roman"/>
                      <w:color w:val="000000" w:themeColor="text1"/>
                      <w:spacing w:val="0"/>
                      <w:position w:val="0"/>
                      <w:sz w:val="18"/>
                      <w:szCs w:val="18"/>
                      <w:vertAlign w:val="baseline"/>
                      <w:lang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废铅蓄电池贮存区二次密闭+负压抽风+</w:t>
                  </w:r>
                  <w:r>
                    <w:rPr>
                      <w:rFonts w:hint="eastAsia" w:ascii="Times New Roman" w:hAnsi="Times New Roman" w:cs="Times New Roman"/>
                      <w:color w:val="000000" w:themeColor="text1"/>
                      <w:spacing w:val="0"/>
                      <w:position w:val="0"/>
                      <w:sz w:val="18"/>
                      <w:szCs w:val="18"/>
                      <w:lang w:val="en-US" w:eastAsia="zh-CN"/>
                      <w14:textFill>
                        <w14:solidFill>
                          <w14:schemeClr w14:val="tx1"/>
                        </w14:solidFill>
                      </w14:textFill>
                    </w:rPr>
                    <w:t>碱液</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喷淋塔+15m排气筒</w:t>
                  </w:r>
                  <w:r>
                    <w:rPr>
                      <w:rFonts w:hint="eastAsia" w:ascii="Times New Roman" w:hAnsi="Times New Roman" w:cs="Times New Roman"/>
                      <w:color w:val="000000" w:themeColor="text1"/>
                      <w:spacing w:val="0"/>
                      <w:position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DA002</w:t>
                  </w:r>
                  <w:r>
                    <w:rPr>
                      <w:rFonts w:hint="eastAsia" w:ascii="Times New Roman" w:hAnsi="Times New Roman" w:cs="Times New Roman"/>
                      <w:color w:val="000000" w:themeColor="text1"/>
                      <w:spacing w:val="0"/>
                      <w:position w:val="0"/>
                      <w:sz w:val="18"/>
                      <w:szCs w:val="18"/>
                      <w:lang w:eastAsia="zh-CN"/>
                      <w14:textFill>
                        <w14:solidFill>
                          <w14:schemeClr w14:val="tx1"/>
                        </w14:solidFill>
                      </w14:textFill>
                    </w:rPr>
                    <w:t>）</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1套</w:t>
                  </w:r>
                </w:p>
              </w:tc>
              <w:tc>
                <w:tcPr>
                  <w:tcW w:w="1580"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《大气污染物综合排放标准》（GB16297-1996）表2</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废水</w:t>
                  </w:r>
                </w:p>
              </w:tc>
              <w:tc>
                <w:tcPr>
                  <w:tcW w:w="30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生活污水</w:t>
                  </w:r>
                </w:p>
              </w:tc>
              <w:tc>
                <w:tcPr>
                  <w:tcW w:w="516"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COD、BOD</w:t>
                  </w:r>
                  <w:r>
                    <w:rPr>
                      <w:rFonts w:hint="default" w:ascii="Times New Roman" w:hAnsi="Times New Roman" w:eastAsia="宋体" w:cs="Times New Roman"/>
                      <w:color w:val="000000" w:themeColor="text1"/>
                      <w:spacing w:val="0"/>
                      <w:position w:val="0"/>
                      <w:sz w:val="18"/>
                      <w:szCs w:val="18"/>
                      <w:vertAlign w:val="subscript"/>
                      <w14:textFill>
                        <w14:solidFill>
                          <w14:schemeClr w14:val="tx1"/>
                        </w14:solidFill>
                      </w14:textFill>
                    </w:rPr>
                    <w:t>5</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、氨氮、SS</w:t>
                  </w:r>
                </w:p>
              </w:tc>
              <w:tc>
                <w:tcPr>
                  <w:tcW w:w="1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eastAsia" w:ascii="Times New Roman" w:hAnsi="Times New Roman"/>
                      <w:color w:val="000000" w:themeColor="text1"/>
                      <w:sz w:val="18"/>
                      <w:szCs w:val="21"/>
                      <w:lang w:val="en-US" w:eastAsia="zh-CN"/>
                      <w14:textFill>
                        <w14:solidFill>
                          <w14:schemeClr w14:val="tx1"/>
                        </w14:solidFill>
                      </w14:textFill>
                    </w:rPr>
                    <w:t>依</w:t>
                  </w:r>
                  <w:r>
                    <w:rPr>
                      <w:rFonts w:hint="eastAsia" w:ascii="Times New Roman" w:hAnsi="Times New Roman"/>
                      <w:color w:val="000000" w:themeColor="text1"/>
                      <w:sz w:val="18"/>
                      <w:szCs w:val="21"/>
                      <w14:textFill>
                        <w14:solidFill>
                          <w14:schemeClr w14:val="tx1"/>
                        </w14:solidFill>
                      </w14:textFill>
                    </w:rPr>
                    <w:t>托黄洋铜业有限公司</w:t>
                  </w:r>
                  <w:r>
                    <w:rPr>
                      <w:rFonts w:hint="eastAsia"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现有</w:t>
                  </w: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化粪池</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1座</w:t>
                  </w:r>
                </w:p>
              </w:tc>
              <w:tc>
                <w:tcPr>
                  <w:tcW w:w="158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噪声</w:t>
                  </w:r>
                </w:p>
              </w:tc>
              <w:tc>
                <w:tcPr>
                  <w:tcW w:w="301"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设备噪声</w:t>
                  </w:r>
                </w:p>
              </w:tc>
              <w:tc>
                <w:tcPr>
                  <w:tcW w:w="516"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噪声</w:t>
                  </w:r>
                </w:p>
              </w:tc>
              <w:tc>
                <w:tcPr>
                  <w:tcW w:w="1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基础减振、厂房隔声</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w:t>
                  </w:r>
                </w:p>
              </w:tc>
              <w:tc>
                <w:tcPr>
                  <w:tcW w:w="1580"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《工业企业厂界环境噪声排放标</w:t>
                  </w:r>
                  <w:r>
                    <w:rPr>
                      <w:rFonts w:hint="default" w:ascii="Times New Roman" w:hAnsi="Times New Roman" w:eastAsia="宋体" w:cs="Times New Roman"/>
                      <w:color w:val="000000" w:themeColor="text1"/>
                      <w:spacing w:val="0"/>
                      <w:position w:val="0"/>
                      <w:sz w:val="18"/>
                      <w:szCs w:val="18"/>
                      <w:lang w:val="en-US" w:eastAsia="zh-CN"/>
                      <w14:textFill>
                        <w14:solidFill>
                          <w14:schemeClr w14:val="tx1"/>
                        </w14:solidFill>
                      </w14:textFill>
                    </w:rPr>
                    <w:t>准</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》（GB12348-2008）2类</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3</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vMerge w:val="restar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固废</w:t>
                  </w:r>
                </w:p>
              </w:tc>
              <w:tc>
                <w:tcPr>
                  <w:tcW w:w="817"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生活垃圾</w:t>
                  </w:r>
                </w:p>
              </w:tc>
              <w:tc>
                <w:tcPr>
                  <w:tcW w:w="1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垃圾箱</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若干</w:t>
                  </w:r>
                </w:p>
              </w:tc>
              <w:tc>
                <w:tcPr>
                  <w:tcW w:w="158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0.5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265" w:type="pct"/>
                  <w:vMerge w:val="continue"/>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p>
              </w:tc>
              <w:tc>
                <w:tcPr>
                  <w:tcW w:w="817" w:type="pct"/>
                  <w:gridSpan w:val="2"/>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危险废物</w:t>
                  </w:r>
                </w:p>
              </w:tc>
              <w:tc>
                <w:tcPr>
                  <w:tcW w:w="1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eastAsia" w:cs="Times New Roman"/>
                      <w:color w:val="000000" w:themeColor="text1"/>
                      <w:spacing w:val="0"/>
                      <w:position w:val="0"/>
                      <w:sz w:val="18"/>
                      <w:szCs w:val="18"/>
                      <w:u w:val="single"/>
                      <w:vertAlign w:val="baseline"/>
                      <w:lang w:val="en-US" w:eastAsia="zh-CN"/>
                      <w14:textFill>
                        <w14:solidFill>
                          <w14:schemeClr w14:val="tx1"/>
                        </w14:solidFill>
                      </w14:textFill>
                    </w:rPr>
                    <w:t>2</w:t>
                  </w:r>
                  <w:r>
                    <w:rPr>
                      <w:rFonts w:hint="default" w:ascii="Times New Roman" w:hAnsi="Times New Roman" w:eastAsia="宋体" w:cs="Times New Roman"/>
                      <w:color w:val="000000" w:themeColor="text1"/>
                      <w:spacing w:val="0"/>
                      <w:position w:val="0"/>
                      <w:sz w:val="18"/>
                      <w:szCs w:val="18"/>
                      <w:u w:val="single"/>
                      <w:vertAlign w:val="baseline"/>
                      <w:lang w:val="en-US" w:eastAsia="zh-CN"/>
                      <w14:textFill>
                        <w14:solidFill>
                          <w14:schemeClr w14:val="tx1"/>
                        </w14:solidFill>
                      </w14:textFill>
                    </w:rPr>
                    <w:t>0m</w:t>
                  </w:r>
                  <w:r>
                    <w:rPr>
                      <w:rFonts w:hint="default" w:ascii="Times New Roman" w:hAnsi="Times New Roman" w:eastAsia="宋体" w:cs="Times New Roman"/>
                      <w:color w:val="000000" w:themeColor="text1"/>
                      <w:spacing w:val="0"/>
                      <w:position w:val="0"/>
                      <w:sz w:val="18"/>
                      <w:szCs w:val="18"/>
                      <w:u w:val="single"/>
                      <w:vertAlign w:val="superscript"/>
                      <w:lang w:val="en-US" w:eastAsia="zh-CN"/>
                      <w14:textFill>
                        <w14:solidFill>
                          <w14:schemeClr w14:val="tx1"/>
                        </w14:solidFill>
                      </w14:textFill>
                    </w:rPr>
                    <w:t>2</w:t>
                  </w:r>
                  <w:r>
                    <w:rPr>
                      <w:rFonts w:hint="default" w:ascii="Times New Roman" w:hAnsi="Times New Roman" w:eastAsia="宋体" w:cs="Times New Roman"/>
                      <w:color w:val="000000" w:themeColor="text1"/>
                      <w:spacing w:val="0"/>
                      <w:position w:val="0"/>
                      <w:sz w:val="18"/>
                      <w:szCs w:val="18"/>
                      <w:u w:val="single"/>
                      <w:vertAlign w:val="baseline"/>
                      <w:lang w:val="en-US" w:eastAsia="zh-CN"/>
                      <w14:textFill>
                        <w14:solidFill>
                          <w14:schemeClr w14:val="tx1"/>
                        </w14:solidFill>
                      </w14:textFill>
                    </w:rPr>
                    <w:t>危险废物暂存间</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1座</w:t>
                  </w:r>
                </w:p>
              </w:tc>
              <w:tc>
                <w:tcPr>
                  <w:tcW w:w="1580"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position w:val="0"/>
                      <w:sz w:val="18"/>
                      <w:szCs w:val="18"/>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《危险废物贮存污</w:t>
                  </w:r>
                </w:p>
                <w:p>
                  <w:pPr>
                    <w:pStyle w:val="56"/>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染控制标准》（GB18597-20</w:t>
                  </w:r>
                  <w:r>
                    <w:rPr>
                      <w:rFonts w:hint="default" w:ascii="Times New Roman" w:hAnsi="Times New Roman" w:eastAsia="宋体" w:cs="Times New Roman"/>
                      <w:color w:val="000000" w:themeColor="text1"/>
                      <w:spacing w:val="0"/>
                      <w:position w:val="0"/>
                      <w:sz w:val="18"/>
                      <w:szCs w:val="18"/>
                      <w:lang w:val="en-US" w:eastAsia="zh-CN"/>
                      <w14:textFill>
                        <w14:solidFill>
                          <w14:schemeClr w14:val="tx1"/>
                        </w14:solidFill>
                      </w14:textFill>
                    </w:rPr>
                    <w:t>23</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eastAsia" w:cs="Times New Roman"/>
                      <w:color w:val="000000" w:themeColor="text1"/>
                      <w:spacing w:val="0"/>
                      <w:position w:val="0"/>
                      <w:sz w:val="18"/>
                      <w:szCs w:val="18"/>
                      <w:vertAlign w:val="baseline"/>
                      <w:lang w:val="en-US" w:eastAsia="zh-CN"/>
                      <w14:textFill>
                        <w14:solidFill>
                          <w14:schemeClr w14:val="tx1"/>
                        </w14:solidFill>
                      </w14:textFill>
                    </w:rPr>
                    <w:t>6.5</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pct"/>
                  <w:gridSpan w:val="3"/>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土壤、地下水</w:t>
                  </w:r>
                </w:p>
              </w:tc>
              <w:tc>
                <w:tcPr>
                  <w:tcW w:w="1565"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0"/>
                      <w:position w:val="0"/>
                      <w:sz w:val="18"/>
                      <w:szCs w:val="18"/>
                      <w:vertAlign w:val="baseline"/>
                      <w:lang w:eastAsia="zh-CN"/>
                      <w14:textFill>
                        <w14:solidFill>
                          <w14:schemeClr w14:val="tx1"/>
                        </w14:solidFill>
                      </w14:textFill>
                    </w:rPr>
                  </w:pPr>
                  <w:r>
                    <w:rPr>
                      <w:rFonts w:hint="eastAsia" w:ascii="Times New Roman" w:hAnsi="Times New Roman" w:eastAsia="宋体" w:cs="宋体"/>
                      <w:color w:val="000000" w:themeColor="text1"/>
                      <w:kern w:val="0"/>
                      <w:sz w:val="18"/>
                      <w:szCs w:val="18"/>
                      <w:lang w:val="en-US" w:eastAsia="zh-CN" w:bidi="ar"/>
                      <w14:textFill>
                        <w14:solidFill>
                          <w14:schemeClr w14:val="tx1"/>
                        </w14:solidFill>
                      </w14:textFill>
                    </w:rPr>
                    <w:t>应急事故池、收集沟、管道、各类危险废物储存区、危废暂存间、碱液喷淋塔</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等</w:t>
                  </w:r>
                  <w:r>
                    <w:rPr>
                      <w:rFonts w:hint="eastAsia" w:ascii="Times New Roman" w:hAnsi="Times New Roman" w:cs="Times New Roman"/>
                      <w:color w:val="000000" w:themeColor="text1"/>
                      <w:spacing w:val="0"/>
                      <w:position w:val="0"/>
                      <w:sz w:val="18"/>
                      <w:szCs w:val="18"/>
                      <w:lang w:val="en-US" w:eastAsia="zh-CN"/>
                      <w14:textFill>
                        <w14:solidFill>
                          <w14:schemeClr w14:val="tx1"/>
                        </w14:solidFill>
                      </w14:textFill>
                    </w:rPr>
                    <w:t>重点防渗区</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采用防渗、防腐措施（等效黏土防渗层Mb≥6.0m</w:t>
                  </w:r>
                  <w:r>
                    <w:rPr>
                      <w:rFonts w:hint="default" w:ascii="Times New Roman" w:hAnsi="Times New Roman" w:eastAsia="宋体" w:cs="Times New Roman"/>
                      <w:color w:val="000000" w:themeColor="text1"/>
                      <w:spacing w:val="0"/>
                      <w:position w:val="0"/>
                      <w:sz w:val="18"/>
                      <w:szCs w:val="18"/>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K≤1.0×10</w:t>
                  </w:r>
                  <w:r>
                    <w:rPr>
                      <w:rFonts w:hint="default" w:ascii="Times New Roman" w:hAnsi="Times New Roman" w:eastAsia="宋体" w:cs="Times New Roman"/>
                      <w:color w:val="000000" w:themeColor="text1"/>
                      <w:spacing w:val="0"/>
                      <w:position w:val="0"/>
                      <w:sz w:val="18"/>
                      <w:szCs w:val="18"/>
                      <w:vertAlign w:val="superscript"/>
                      <w14:textFill>
                        <w14:solidFill>
                          <w14:schemeClr w14:val="tx1"/>
                        </w14:solidFill>
                      </w14:textFill>
                    </w:rPr>
                    <w:t>-</w:t>
                  </w:r>
                  <w:r>
                    <w:rPr>
                      <w:rFonts w:hint="eastAsia" w:ascii="Times New Roman" w:hAnsi="Times New Roman" w:cs="Times New Roman"/>
                      <w:color w:val="000000" w:themeColor="text1"/>
                      <w:spacing w:val="0"/>
                      <w:position w:val="0"/>
                      <w:sz w:val="18"/>
                      <w:szCs w:val="18"/>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cm/s</w:t>
                  </w:r>
                  <w:r>
                    <w:rPr>
                      <w:rFonts w:hint="eastAsia" w:ascii="Times New Roman" w:hAnsi="Times New Roman" w:cs="Times New Roman"/>
                      <w:color w:val="000000" w:themeColor="text1"/>
                      <w:spacing w:val="0"/>
                      <w:position w:val="0"/>
                      <w:sz w:val="18"/>
                      <w:szCs w:val="18"/>
                      <w:lang w:eastAsia="zh-CN"/>
                      <w14:textFill>
                        <w14:solidFill>
                          <w14:schemeClr w14:val="tx1"/>
                        </w14:solidFill>
                      </w14:textFill>
                    </w:rPr>
                    <w:t>）</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w:t>
                  </w:r>
                </w:p>
              </w:tc>
              <w:tc>
                <w:tcPr>
                  <w:tcW w:w="1580" w:type="pct"/>
                  <w:tcBorders>
                    <w:tl2br w:val="nil"/>
                    <w:tr2bl w:val="nil"/>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《废铅蓄电池处理污染控制技术规范》（HJ519-2020）及《危险废物贮存污染控制标准》（GB18597-20</w:t>
                  </w:r>
                  <w:r>
                    <w:rPr>
                      <w:rFonts w:hint="default" w:ascii="Times New Roman" w:hAnsi="Times New Roman" w:eastAsia="宋体" w:cs="Times New Roman"/>
                      <w:color w:val="000000" w:themeColor="text1"/>
                      <w:spacing w:val="0"/>
                      <w:position w:val="0"/>
                      <w:sz w:val="18"/>
                      <w:szCs w:val="18"/>
                      <w:lang w:val="en-US" w:eastAsia="zh-CN"/>
                      <w14:textFill>
                        <w14:solidFill>
                          <w14:schemeClr w14:val="tx1"/>
                        </w14:solidFill>
                      </w14:textFill>
                    </w:rPr>
                    <w:t>23</w:t>
                  </w:r>
                  <w:r>
                    <w:rPr>
                      <w:rFonts w:hint="default" w:ascii="Times New Roman" w:hAnsi="Times New Roman" w:eastAsia="宋体" w:cs="Times New Roman"/>
                      <w:color w:val="000000" w:themeColor="text1"/>
                      <w:spacing w:val="0"/>
                      <w:position w:val="0"/>
                      <w:sz w:val="18"/>
                      <w:szCs w:val="18"/>
                      <w14:textFill>
                        <w14:solidFill>
                          <w14:schemeClr w14:val="tx1"/>
                        </w14:solidFill>
                      </w14:textFill>
                    </w:rPr>
                    <w:t>）</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10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1083" w:type="pct"/>
                  <w:gridSpan w:val="3"/>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风险</w:t>
                  </w:r>
                </w:p>
              </w:tc>
              <w:tc>
                <w:tcPr>
                  <w:tcW w:w="1565"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14:textFill>
                        <w14:solidFill>
                          <w14:schemeClr w14:val="tx1"/>
                        </w14:solidFill>
                      </w14:textFill>
                    </w:rPr>
                  </w:pPr>
                  <w:r>
                    <w:rPr>
                      <w:rFonts w:hint="default" w:ascii="Times New Roman" w:hAnsi="Times New Roman" w:eastAsia="宋体" w:cs="Times New Roman"/>
                      <w:color w:val="000000" w:themeColor="text1"/>
                      <w:spacing w:val="0"/>
                      <w:sz w:val="18"/>
                      <w:szCs w:val="18"/>
                      <w14:textFill>
                        <w14:solidFill>
                          <w14:schemeClr w14:val="tx1"/>
                        </w14:solidFill>
                      </w14:textFill>
                    </w:rPr>
                    <w:t>配备消防沙、灭火器</w:t>
                  </w:r>
                  <w:r>
                    <w:rPr>
                      <w:rFonts w:hint="eastAsia" w:cs="Times New Roman"/>
                      <w:color w:val="000000" w:themeColor="text1"/>
                      <w:spacing w:val="0"/>
                      <w:sz w:val="18"/>
                      <w:szCs w:val="18"/>
                      <w:lang w:eastAsia="zh-CN"/>
                      <w14:textFill>
                        <w14:solidFill>
                          <w14:schemeClr w14:val="tx1"/>
                        </w14:solidFill>
                      </w14:textFill>
                    </w:rPr>
                    <w:t>、</w:t>
                  </w:r>
                  <w:r>
                    <w:rPr>
                      <w:rFonts w:hint="eastAsia" w:cs="Times New Roman"/>
                      <w:color w:val="000000" w:themeColor="text1"/>
                      <w:spacing w:val="0"/>
                      <w:sz w:val="18"/>
                      <w:szCs w:val="18"/>
                      <w:lang w:val="en-US" w:eastAsia="zh-CN"/>
                      <w14:textFill>
                        <w14:solidFill>
                          <w14:schemeClr w14:val="tx1"/>
                        </w14:solidFill>
                      </w14:textFill>
                    </w:rPr>
                    <w:t>呼吸防护面具、护目镜</w:t>
                  </w:r>
                  <w:r>
                    <w:rPr>
                      <w:rFonts w:hint="default" w:ascii="Times New Roman" w:hAnsi="Times New Roman" w:eastAsia="宋体" w:cs="Times New Roman"/>
                      <w:color w:val="000000" w:themeColor="text1"/>
                      <w:spacing w:val="0"/>
                      <w:sz w:val="18"/>
                      <w:szCs w:val="18"/>
                      <w14:textFill>
                        <w14:solidFill>
                          <w14:schemeClr w14:val="tx1"/>
                        </w14:solidFill>
                      </w14:textFill>
                    </w:rPr>
                    <w:t>等，设置导流沟、收集管道、围堰、监控视频和事故池</w:t>
                  </w:r>
                </w:p>
              </w:tc>
              <w:tc>
                <w:tcPr>
                  <w:tcW w:w="302"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w:t>
                  </w:r>
                </w:p>
              </w:tc>
              <w:tc>
                <w:tcPr>
                  <w:tcW w:w="1580"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降低环境风险</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20</w:t>
                  </w:r>
                </w:p>
              </w:tc>
            </w:tr>
            <w:tr>
              <w:tblPrEx>
                <w:tblBorders>
                  <w:top w:val="single" w:color="auto" w:sz="12" w:space="0"/>
                  <w:left w:val="none" w:color="auto" w:sz="0" w:space="0"/>
                  <w:bottom w:val="single" w:color="auto" w:sz="12" w:space="0"/>
                  <w:right w:val="none" w:color="auto" w:sz="0" w:space="0"/>
                  <w:insideH w:val="single" w:color="auto" w:sz="4" w:space="0"/>
                  <w:insideV w:val="single" w:color="auto" w:sz="4" w:space="0"/>
                </w:tblBorders>
                <w:tblCellMar>
                  <w:top w:w="0" w:type="dxa"/>
                  <w:left w:w="108" w:type="dxa"/>
                  <w:bottom w:w="0" w:type="dxa"/>
                  <w:right w:w="108" w:type="dxa"/>
                </w:tblCellMar>
              </w:tblPrEx>
              <w:tc>
                <w:tcPr>
                  <w:tcW w:w="4531" w:type="pct"/>
                  <w:gridSpan w:val="6"/>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合计</w:t>
                  </w:r>
                </w:p>
              </w:tc>
              <w:tc>
                <w:tcPr>
                  <w:tcW w:w="468" w:type="pct"/>
                  <w:tcBorders>
                    <w:tl2br w:val="nil"/>
                    <w:tr2bl w:val="nil"/>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8</w:t>
                  </w:r>
                  <w:r>
                    <w:rPr>
                      <w:rFonts w:hint="default" w:ascii="Times New Roman" w:hAnsi="Times New Roman" w:eastAsia="宋体" w:cs="Times New Roman"/>
                      <w:color w:val="000000" w:themeColor="text1"/>
                      <w:spacing w:val="0"/>
                      <w:position w:val="0"/>
                      <w:sz w:val="18"/>
                      <w:szCs w:val="18"/>
                      <w:vertAlign w:val="baseline"/>
                      <w:lang w:val="en-US" w:eastAsia="zh-CN"/>
                      <w14:textFill>
                        <w14:solidFill>
                          <w14:schemeClr w14:val="tx1"/>
                        </w14:solidFill>
                      </w14:textFill>
                    </w:rPr>
                    <w:t>0</w:t>
                  </w:r>
                </w:p>
              </w:tc>
            </w:tr>
          </w:tbl>
          <w:p>
            <w:pPr>
              <w:keepLines w:val="0"/>
              <w:pageBreakBefore w:val="0"/>
              <w:kinsoku/>
              <w:wordWrap w:val="0"/>
              <w:topLinePunct w:val="0"/>
              <w:bidi w:val="0"/>
              <w:spacing w:line="520" w:lineRule="exact"/>
              <w:rPr>
                <w:rFonts w:hint="eastAsia" w:ascii="Times New Roman" w:hAnsi="Times New Roman"/>
                <w:color w:val="000000" w:themeColor="text1"/>
                <w:sz w:val="24"/>
                <w14:textFill>
                  <w14:solidFill>
                    <w14:schemeClr w14:val="tx1"/>
                  </w14:solidFill>
                </w14:textFill>
              </w:rPr>
            </w:pPr>
          </w:p>
        </w:tc>
      </w:tr>
    </w:tbl>
    <w:p>
      <w:pPr>
        <w:keepLines w:val="0"/>
        <w:pageBreakBefore w:val="0"/>
        <w:tabs>
          <w:tab w:val="left" w:pos="1860"/>
        </w:tabs>
        <w:kinsoku/>
        <w:wordWrap w:val="0"/>
        <w:topLinePunct w:val="0"/>
        <w:bidi w:val="0"/>
        <w:rPr>
          <w:rFonts w:hint="eastAsia" w:ascii="Times New Roman" w:hAnsi="Times New Roman" w:cs="宋体"/>
          <w:color w:val="000000" w:themeColor="text1"/>
          <w:sz w:val="28"/>
          <w:szCs w:val="28"/>
          <w14:textFill>
            <w14:solidFill>
              <w14:schemeClr w14:val="tx1"/>
            </w14:solidFill>
          </w14:textFill>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15"/>
        <w:keepLines w:val="0"/>
        <w:pageBreakBefore w:val="0"/>
        <w:kinsoku/>
        <w:wordWrap w:val="0"/>
        <w:topLinePunct w:val="0"/>
        <w:bidi w:val="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hint="eastAsia" w:ascii="Times New Roman" w:hAnsi="Times New Roman" w:eastAsia="黑体"/>
          <w:snapToGrid w:val="0"/>
          <w:color w:val="000000" w:themeColor="text1"/>
          <w:sz w:val="30"/>
          <w:szCs w:val="30"/>
          <w14:textFill>
            <w14:solidFill>
              <w14:schemeClr w14:val="tx1"/>
            </w14:solidFill>
          </w14:textFill>
        </w:rPr>
        <w:t>五、</w:t>
      </w:r>
      <w:bookmarkStart w:id="10" w:name="_Hlk54167917"/>
      <w:r>
        <w:rPr>
          <w:rFonts w:hint="eastAsia" w:ascii="Times New Roman" w:hAnsi="Times New Roman" w:eastAsia="黑体"/>
          <w:snapToGrid w:val="0"/>
          <w:color w:val="000000" w:themeColor="text1"/>
          <w:sz w:val="30"/>
          <w:szCs w:val="30"/>
          <w14:textFill>
            <w14:solidFill>
              <w14:schemeClr w14:val="tx1"/>
            </w14:solidFill>
          </w14:textFill>
        </w:rPr>
        <w:t>环境保护措施监督检查清单</w:t>
      </w:r>
      <w:bookmarkEnd w:id="10"/>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92"/>
        <w:gridCol w:w="1439"/>
        <w:gridCol w:w="1921"/>
        <w:gridCol w:w="1647"/>
        <w:gridCol w:w="230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92" w:type="dxa"/>
            <w:tcBorders>
              <w:tl2br w:val="single" w:color="auto" w:sz="4" w:space="0"/>
            </w:tcBorders>
            <w:noWrap w:val="0"/>
            <w:vAlign w:val="top"/>
          </w:tcPr>
          <w:p>
            <w:pPr>
              <w:keepLines w:val="0"/>
              <w:pageBreakBefore w:val="0"/>
              <w:kinsoku/>
              <w:wordWrap w:val="0"/>
              <w:topLinePunct w:val="0"/>
              <w:bidi w:val="0"/>
              <w:adjustRightInd w:val="0"/>
              <w:snapToGrid w:val="0"/>
              <w:ind w:firstLine="840"/>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内容</w:t>
            </w:r>
          </w:p>
          <w:p>
            <w:pPr>
              <w:keepLines w:val="0"/>
              <w:pageBreakBefore w:val="0"/>
              <w:kinsoku/>
              <w:wordWrap w:val="0"/>
              <w:topLinePunct w:val="0"/>
              <w:bidi w:val="0"/>
              <w:adjustRightInd w:val="0"/>
              <w:snapToGrid w:val="0"/>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要素</w:t>
            </w:r>
          </w:p>
        </w:tc>
        <w:tc>
          <w:tcPr>
            <w:tcW w:w="1439"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排放口(编号、名称)/污染源</w:t>
            </w:r>
          </w:p>
        </w:tc>
        <w:tc>
          <w:tcPr>
            <w:tcW w:w="1921"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污染物项目</w:t>
            </w:r>
          </w:p>
        </w:tc>
        <w:tc>
          <w:tcPr>
            <w:tcW w:w="1647"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环境保护措施</w:t>
            </w:r>
          </w:p>
        </w:tc>
        <w:tc>
          <w:tcPr>
            <w:tcW w:w="2301"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92" w:type="dxa"/>
            <w:vMerge w:val="restart"/>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大气环境</w:t>
            </w:r>
          </w:p>
        </w:tc>
        <w:tc>
          <w:tcPr>
            <w:tcW w:w="1439" w:type="dxa"/>
            <w:noWrap w:val="0"/>
            <w:vAlign w:val="center"/>
          </w:tcPr>
          <w:p>
            <w:pPr>
              <w:keepLines w:val="0"/>
              <w:pageBreakBefore w:val="0"/>
              <w:kinsoku/>
              <w:wordWrap w:val="0"/>
              <w:topLinePunct w:val="0"/>
              <w:bidi w:val="0"/>
              <w:adjustRightInd w:val="0"/>
              <w:snapToGrid w:val="0"/>
              <w:jc w:val="center"/>
              <w:rPr>
                <w:rFonts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D</w:t>
            </w:r>
            <w:r>
              <w:rPr>
                <w:rFonts w:ascii="Times New Roman" w:hAnsi="Times New Roman"/>
                <w:bCs/>
                <w:color w:val="000000" w:themeColor="text1"/>
                <w:szCs w:val="21"/>
                <w14:textFill>
                  <w14:solidFill>
                    <w14:schemeClr w14:val="tx1"/>
                  </w14:solidFill>
                </w14:textFill>
              </w:rPr>
              <w:t>A00</w:t>
            </w:r>
            <w:r>
              <w:rPr>
                <w:rFonts w:hint="eastAsia" w:ascii="Times New Roman" w:hAnsi="Times New Roman"/>
                <w:bCs/>
                <w:color w:val="000000" w:themeColor="text1"/>
                <w:szCs w:val="21"/>
                <w:lang w:val="en-US" w:eastAsia="zh-CN"/>
                <w14:textFill>
                  <w14:solidFill>
                    <w14:schemeClr w14:val="tx1"/>
                  </w14:solidFill>
                </w14:textFill>
              </w:rPr>
              <w:t>1</w:t>
            </w:r>
          </w:p>
        </w:tc>
        <w:tc>
          <w:tcPr>
            <w:tcW w:w="1921"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bCs/>
                <w:color w:val="000000" w:themeColor="text1"/>
                <w:szCs w:val="21"/>
                <w14:textFill>
                  <w14:solidFill>
                    <w14:schemeClr w14:val="tx1"/>
                  </w14:solidFill>
                </w14:textFill>
              </w:rPr>
            </w:pPr>
            <w:r>
              <w:rPr>
                <w:rFonts w:hint="eastAsia" w:ascii="Times New Roman" w:hAnsi="Times New Roman"/>
                <w:bCs/>
                <w:color w:val="000000" w:themeColor="text1"/>
                <w:szCs w:val="21"/>
                <w14:textFill>
                  <w14:solidFill>
                    <w14:schemeClr w14:val="tx1"/>
                  </w14:solidFill>
                </w14:textFill>
              </w:rPr>
              <w:t>非甲烷总烃</w:t>
            </w:r>
          </w:p>
        </w:tc>
        <w:tc>
          <w:tcPr>
            <w:tcW w:w="1647" w:type="dxa"/>
            <w:noWrap w:val="0"/>
            <w:vAlign w:val="center"/>
          </w:tcPr>
          <w:p>
            <w:pPr>
              <w:keepLines w:val="0"/>
              <w:pageBreakBefore w:val="0"/>
              <w:kinsoku/>
              <w:wordWrap w:val="0"/>
              <w:topLinePunct w:val="0"/>
              <w:autoSpaceDE w:val="0"/>
              <w:autoSpaceDN w:val="0"/>
              <w:bidi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eastAsia="Times New Roman" w:cs="Times New Roman"/>
                <w:color w:val="000000" w:themeColor="text1"/>
                <w:spacing w:val="0"/>
                <w:position w:val="0"/>
                <w:sz w:val="21"/>
                <w:szCs w:val="21"/>
                <w14:textFill>
                  <w14:solidFill>
                    <w14:schemeClr w14:val="tx1"/>
                  </w14:solidFill>
                </w14:textFill>
              </w:rPr>
              <w:t>HW08</w:t>
            </w:r>
            <w:r>
              <w:rPr>
                <w:rFonts w:ascii="Times New Roman" w:hAnsi="Times New Roman"/>
                <w:color w:val="000000" w:themeColor="text1"/>
                <w:spacing w:val="0"/>
                <w:position w:val="0"/>
                <w:sz w:val="21"/>
                <w:szCs w:val="21"/>
                <w14:textFill>
                  <w14:solidFill>
                    <w14:schemeClr w14:val="tx1"/>
                  </w14:solidFill>
                </w14:textFill>
              </w:rPr>
              <w:t>类危险废物贮存区二次密闭</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w:t>
            </w:r>
            <w:r>
              <w:rPr>
                <w:rFonts w:ascii="Times New Roman" w:hAnsi="Times New Roman"/>
                <w:color w:val="000000" w:themeColor="text1"/>
                <w:spacing w:val="0"/>
                <w:position w:val="0"/>
                <w:sz w:val="21"/>
                <w:szCs w:val="21"/>
                <w14:textFill>
                  <w14:solidFill>
                    <w14:schemeClr w14:val="tx1"/>
                  </w14:solidFill>
                </w14:textFill>
              </w:rPr>
              <w:t>负压抽风</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w:t>
            </w:r>
            <w:r>
              <w:rPr>
                <w:rFonts w:ascii="Times New Roman" w:hAnsi="Times New Roman"/>
                <w:color w:val="000000" w:themeColor="text1"/>
                <w:spacing w:val="0"/>
                <w:position w:val="0"/>
                <w:sz w:val="21"/>
                <w:szCs w:val="21"/>
                <w14:textFill>
                  <w14:solidFill>
                    <w14:schemeClr w14:val="tx1"/>
                  </w14:solidFill>
                </w14:textFill>
              </w:rPr>
              <w:t>活性炭吸附</w:t>
            </w:r>
            <w:r>
              <w:rPr>
                <w:rFonts w:hint="eastAsia" w:ascii="Times New Roman" w:hAnsi="Times New Roman"/>
                <w:color w:val="000000" w:themeColor="text1"/>
                <w:spacing w:val="0"/>
                <w:position w:val="0"/>
                <w:sz w:val="21"/>
                <w:szCs w:val="21"/>
                <w:lang w:val="en-US" w:eastAsia="zh-CN"/>
                <w14:textFill>
                  <w14:solidFill>
                    <w14:schemeClr w14:val="tx1"/>
                  </w14:solidFill>
                </w14:textFill>
              </w:rPr>
              <w:t>+催化燃烧</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+15m</w:t>
            </w:r>
            <w:r>
              <w:rPr>
                <w:rFonts w:ascii="Times New Roman" w:hAnsi="Times New Roman"/>
                <w:color w:val="000000" w:themeColor="text1"/>
                <w:spacing w:val="0"/>
                <w:position w:val="0"/>
                <w:sz w:val="21"/>
                <w:szCs w:val="21"/>
                <w14:textFill>
                  <w14:solidFill>
                    <w14:schemeClr w14:val="tx1"/>
                  </w14:solidFill>
                </w14:textFill>
              </w:rPr>
              <w:t>高排气筒</w:t>
            </w:r>
            <w:r>
              <w:rPr>
                <w:rFonts w:hint="eastAsia" w:ascii="Times New Roman" w:hAnsi="Times New Roman"/>
                <w:color w:val="000000" w:themeColor="text1"/>
                <w:spacing w:val="0"/>
                <w:position w:val="0"/>
                <w:sz w:val="21"/>
                <w:szCs w:val="21"/>
                <w:lang w:eastAsia="zh-CN"/>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DA001</w:t>
            </w:r>
            <w:r>
              <w:rPr>
                <w:rFonts w:hint="eastAsia" w:ascii="Times New Roman" w:hAnsi="Times New Roman"/>
                <w:color w:val="000000" w:themeColor="text1"/>
                <w:spacing w:val="0"/>
                <w:position w:val="0"/>
                <w:sz w:val="21"/>
                <w:szCs w:val="21"/>
                <w:lang w:eastAsia="zh-CN"/>
                <w14:textFill>
                  <w14:solidFill>
                    <w14:schemeClr w14:val="tx1"/>
                  </w14:solidFill>
                </w14:textFill>
              </w:rPr>
              <w:t>）</w:t>
            </w:r>
          </w:p>
        </w:tc>
        <w:tc>
          <w:tcPr>
            <w:tcW w:w="2301" w:type="dxa"/>
            <w:noWrap w:val="0"/>
            <w:vAlign w:val="center"/>
          </w:tcPr>
          <w:p>
            <w:pPr>
              <w:keepLines w:val="0"/>
              <w:pageBreakBefore w:val="0"/>
              <w:kinsoku/>
              <w:wordWrap w:val="0"/>
              <w:topLinePunct w:val="0"/>
              <w:bidi w:val="0"/>
              <w:adjustRightInd w:val="0"/>
              <w:snapToGrid w:val="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《大气污染物综合排放标准》（GB16297-1996）表2、《关于全省开展工业企业挥发性有机物专项治理工作中排放建议值的通知》（豫环攻坚办〔2017〕162号）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92" w:type="dxa"/>
            <w:vMerge w:val="continue"/>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p>
        </w:tc>
        <w:tc>
          <w:tcPr>
            <w:tcW w:w="1439" w:type="dxa"/>
            <w:noWrap w:val="0"/>
            <w:vAlign w:val="center"/>
          </w:tcPr>
          <w:p>
            <w:pPr>
              <w:keepLines w:val="0"/>
              <w:pageBreakBefore w:val="0"/>
              <w:kinsoku/>
              <w:wordWrap w:val="0"/>
              <w:topLinePunct w:val="0"/>
              <w:bidi w:val="0"/>
              <w:adjustRightInd w:val="0"/>
              <w:snapToGrid w:val="0"/>
              <w:jc w:val="center"/>
              <w:rPr>
                <w:rFonts w:ascii="Times New Roman" w:hAnsi="Times New Roman"/>
                <w:bCs/>
                <w:color w:val="000000" w:themeColor="text1"/>
                <w:szCs w:val="21"/>
                <w14:textFill>
                  <w14:solidFill>
                    <w14:schemeClr w14:val="tx1"/>
                  </w14:solidFill>
                </w14:textFill>
              </w:rPr>
            </w:pPr>
            <w:r>
              <w:rPr>
                <w:rFonts w:ascii="Times New Roman" w:hAnsi="Times New Roman"/>
                <w:bCs/>
                <w:color w:val="000000" w:themeColor="text1"/>
                <w:szCs w:val="21"/>
                <w14:textFill>
                  <w14:solidFill>
                    <w14:schemeClr w14:val="tx1"/>
                  </w14:solidFill>
                </w14:textFill>
              </w:rPr>
              <w:t>DA00</w:t>
            </w:r>
            <w:r>
              <w:rPr>
                <w:rFonts w:hint="eastAsia" w:ascii="Times New Roman" w:hAnsi="Times New Roman"/>
                <w:bCs/>
                <w:color w:val="000000" w:themeColor="text1"/>
                <w:szCs w:val="21"/>
                <w:lang w:val="en-US" w:eastAsia="zh-CN"/>
                <w14:textFill>
                  <w14:solidFill>
                    <w14:schemeClr w14:val="tx1"/>
                  </w14:solidFill>
                </w14:textFill>
              </w:rPr>
              <w:t>2</w:t>
            </w:r>
          </w:p>
        </w:tc>
        <w:tc>
          <w:tcPr>
            <w:tcW w:w="1921"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eastAsia="宋体"/>
                <w:bCs/>
                <w:color w:val="000000" w:themeColor="text1"/>
                <w:szCs w:val="21"/>
                <w:lang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硫酸雾</w:t>
            </w:r>
          </w:p>
        </w:tc>
        <w:tc>
          <w:tcPr>
            <w:tcW w:w="1647" w:type="dxa"/>
            <w:noWrap w:val="0"/>
            <w:vAlign w:val="center"/>
          </w:tcPr>
          <w:p>
            <w:pPr>
              <w:keepLines w:val="0"/>
              <w:pageBreakBefore w:val="0"/>
              <w:kinsoku/>
              <w:wordWrap w:val="0"/>
              <w:topLinePunct w:val="0"/>
              <w:autoSpaceDE w:val="0"/>
              <w:autoSpaceDN w:val="0"/>
              <w:bidi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spacing w:val="0"/>
                <w:position w:val="0"/>
                <w:sz w:val="21"/>
                <w:szCs w:val="21"/>
                <w14:textFill>
                  <w14:solidFill>
                    <w14:schemeClr w14:val="tx1"/>
                  </w14:solidFill>
                </w14:textFill>
              </w:rPr>
              <w:t>废铅蓄电池贮存区二次密闭</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w:t>
            </w:r>
            <w:r>
              <w:rPr>
                <w:rFonts w:ascii="Times New Roman" w:hAnsi="Times New Roman"/>
                <w:color w:val="000000" w:themeColor="text1"/>
                <w:spacing w:val="0"/>
                <w:position w:val="0"/>
                <w:sz w:val="21"/>
                <w:szCs w:val="21"/>
                <w14:textFill>
                  <w14:solidFill>
                    <w14:schemeClr w14:val="tx1"/>
                  </w14:solidFill>
                </w14:textFill>
              </w:rPr>
              <w:t>负压抽风</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碱液</w:t>
            </w:r>
            <w:r>
              <w:rPr>
                <w:rFonts w:ascii="Times New Roman" w:hAnsi="Times New Roman"/>
                <w:color w:val="000000" w:themeColor="text1"/>
                <w:spacing w:val="0"/>
                <w:position w:val="0"/>
                <w:sz w:val="21"/>
                <w:szCs w:val="21"/>
                <w14:textFill>
                  <w14:solidFill>
                    <w14:schemeClr w14:val="tx1"/>
                  </w14:solidFill>
                </w14:textFill>
              </w:rPr>
              <w:t>喷淋塔</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+15m</w:t>
            </w:r>
            <w:r>
              <w:rPr>
                <w:rFonts w:ascii="Times New Roman" w:hAnsi="Times New Roman"/>
                <w:color w:val="000000" w:themeColor="text1"/>
                <w:spacing w:val="0"/>
                <w:position w:val="0"/>
                <w:sz w:val="21"/>
                <w:szCs w:val="21"/>
                <w14:textFill>
                  <w14:solidFill>
                    <w14:schemeClr w14:val="tx1"/>
                  </w14:solidFill>
                </w14:textFill>
              </w:rPr>
              <w:t>排气筒</w:t>
            </w:r>
            <w:r>
              <w:rPr>
                <w:rFonts w:hint="eastAsia" w:ascii="Times New Roman" w:hAnsi="Times New Roman"/>
                <w:color w:val="000000" w:themeColor="text1"/>
                <w:spacing w:val="0"/>
                <w:position w:val="0"/>
                <w:sz w:val="21"/>
                <w:szCs w:val="21"/>
                <w:lang w:eastAsia="zh-CN"/>
                <w14:textFill>
                  <w14:solidFill>
                    <w14:schemeClr w14:val="tx1"/>
                  </w14:solidFill>
                </w14:textFill>
              </w:rPr>
              <w:t>（</w:t>
            </w:r>
            <w:r>
              <w:rPr>
                <w:rFonts w:ascii="Times New Roman" w:hAnsi="Times New Roman" w:eastAsia="Times New Roman" w:cs="Times New Roman"/>
                <w:color w:val="000000" w:themeColor="text1"/>
                <w:spacing w:val="0"/>
                <w:position w:val="0"/>
                <w:sz w:val="21"/>
                <w:szCs w:val="21"/>
                <w14:textFill>
                  <w14:solidFill>
                    <w14:schemeClr w14:val="tx1"/>
                  </w14:solidFill>
                </w14:textFill>
              </w:rPr>
              <w:t>DA002</w:t>
            </w:r>
            <w:r>
              <w:rPr>
                <w:rFonts w:hint="eastAsia" w:ascii="Times New Roman" w:hAnsi="Times New Roman"/>
                <w:color w:val="000000" w:themeColor="text1"/>
                <w:spacing w:val="0"/>
                <w:position w:val="0"/>
                <w:sz w:val="21"/>
                <w:szCs w:val="21"/>
                <w:lang w:eastAsia="zh-CN"/>
                <w14:textFill>
                  <w14:solidFill>
                    <w14:schemeClr w14:val="tx1"/>
                  </w14:solidFill>
                </w14:textFill>
              </w:rPr>
              <w:t>）</w:t>
            </w:r>
          </w:p>
        </w:tc>
        <w:tc>
          <w:tcPr>
            <w:tcW w:w="2301" w:type="dxa"/>
            <w:noWrap w:val="0"/>
            <w:vAlign w:val="center"/>
          </w:tcPr>
          <w:p>
            <w:pPr>
              <w:keepLines w:val="0"/>
              <w:pageBreakBefore w:val="0"/>
              <w:kinsoku/>
              <w:wordWrap w:val="0"/>
              <w:topLinePunct w:val="0"/>
              <w:bidi w:val="0"/>
              <w:adjustRightInd w:val="0"/>
              <w:snapToGrid w:val="0"/>
              <w:jc w:val="center"/>
              <w:rPr>
                <w:rFonts w:ascii="Times New Roman" w:hAnsi="Times New Roman"/>
                <w:bCs/>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《大气污染物综合排放标准》（GB16297-1996）表2</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92"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地表水环境</w:t>
            </w:r>
          </w:p>
        </w:tc>
        <w:tc>
          <w:tcPr>
            <w:tcW w:w="1439" w:type="dxa"/>
            <w:noWrap w:val="0"/>
            <w:vAlign w:val="center"/>
          </w:tcPr>
          <w:p>
            <w:pPr>
              <w:keepLines w:val="0"/>
              <w:pageBreakBefore w:val="0"/>
              <w:kinsoku/>
              <w:wordWrap w:val="0"/>
              <w:topLinePunct w:val="0"/>
              <w:autoSpaceDE w:val="0"/>
              <w:autoSpaceDN w:val="0"/>
              <w:bidi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生活污水</w:t>
            </w:r>
          </w:p>
        </w:tc>
        <w:tc>
          <w:tcPr>
            <w:tcW w:w="1921" w:type="dxa"/>
            <w:noWrap w:val="0"/>
            <w:vAlign w:val="center"/>
          </w:tcPr>
          <w:p>
            <w:pPr>
              <w:keepLines w:val="0"/>
              <w:pageBreakBefore w:val="0"/>
              <w:kinsoku/>
              <w:wordWrap w:val="0"/>
              <w:topLinePunct w:val="0"/>
              <w:autoSpaceDE w:val="0"/>
              <w:autoSpaceDN w:val="0"/>
              <w:bidi w:val="0"/>
              <w:jc w:val="center"/>
              <w:rPr>
                <w:rFonts w:ascii="Times New Roman" w:hAnsi="Times New Roman"/>
                <w:color w:val="000000" w:themeColor="text1"/>
                <w:kern w:val="0"/>
                <w:szCs w:val="21"/>
                <w14:textFill>
                  <w14:solidFill>
                    <w14:schemeClr w14:val="tx1"/>
                  </w14:solidFill>
                </w14:textFill>
              </w:rPr>
            </w:pPr>
            <w:r>
              <w:rPr>
                <w:rFonts w:ascii="Times New Roman" w:hAnsi="Times New Roman"/>
                <w:color w:val="000000" w:themeColor="text1"/>
                <w:kern w:val="0"/>
                <w:szCs w:val="21"/>
                <w14:textFill>
                  <w14:solidFill>
                    <w14:schemeClr w14:val="tx1"/>
                  </w14:solidFill>
                </w14:textFill>
              </w:rPr>
              <w:t>COD、BOD</w:t>
            </w:r>
            <w:r>
              <w:rPr>
                <w:rFonts w:ascii="Times New Roman" w:hAnsi="Times New Roman"/>
                <w:color w:val="000000" w:themeColor="text1"/>
                <w:kern w:val="0"/>
                <w:szCs w:val="21"/>
                <w:vertAlign w:val="subscript"/>
                <w14:textFill>
                  <w14:solidFill>
                    <w14:schemeClr w14:val="tx1"/>
                  </w14:solidFill>
                </w14:textFill>
              </w:rPr>
              <w:t>5</w:t>
            </w:r>
            <w:r>
              <w:rPr>
                <w:rFonts w:ascii="Times New Roman" w:hAnsi="Times New Roman"/>
                <w:color w:val="000000" w:themeColor="text1"/>
                <w:kern w:val="0"/>
                <w:szCs w:val="21"/>
                <w14:textFill>
                  <w14:solidFill>
                    <w14:schemeClr w14:val="tx1"/>
                  </w14:solidFill>
                </w14:textFill>
              </w:rPr>
              <w:t>、SS、氨氮</w:t>
            </w:r>
          </w:p>
        </w:tc>
        <w:tc>
          <w:tcPr>
            <w:tcW w:w="1647"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化粪池</w:t>
            </w:r>
          </w:p>
        </w:tc>
        <w:tc>
          <w:tcPr>
            <w:tcW w:w="2301" w:type="dxa"/>
            <w:noWrap w:val="0"/>
            <w:vAlign w:val="center"/>
          </w:tcPr>
          <w:p>
            <w:pPr>
              <w:keepLines w:val="0"/>
              <w:pageBreakBefore w:val="0"/>
              <w:kinsoku/>
              <w:wordWrap w:val="0"/>
              <w:topLinePunct w:val="0"/>
              <w:bidi w:val="0"/>
              <w:adjustRightInd w:val="0"/>
              <w:snapToGrid w:val="0"/>
              <w:jc w:val="center"/>
              <w:rPr>
                <w:rFonts w:hint="default" w:ascii="Times New Roman" w:hAnsi="Times New Roman" w:eastAsia="宋体"/>
                <w:bCs/>
                <w:color w:val="000000" w:themeColor="text1"/>
                <w:szCs w:val="21"/>
                <w:lang w:val="en-US" w:eastAsia="zh-CN"/>
                <w14:textFill>
                  <w14:solidFill>
                    <w14:schemeClr w14:val="tx1"/>
                  </w14:solidFill>
                </w14:textFill>
              </w:rPr>
            </w:pPr>
            <w:r>
              <w:rPr>
                <w:rFonts w:hint="eastAsia" w:ascii="Times New Roman" w:hAnsi="Times New Roman"/>
                <w:bCs/>
                <w:color w:val="000000" w:themeColor="text1"/>
                <w:szCs w:val="21"/>
                <w:lang w:val="en-US" w:eastAsia="zh-CN"/>
                <w14:textFill>
                  <w14:solidFill>
                    <w14:schemeClr w14:val="tx1"/>
                  </w14:solidFill>
                </w14:textFill>
              </w:rPr>
              <w:t>运往周边农田</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1492"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声环境</w:t>
            </w:r>
          </w:p>
        </w:tc>
        <w:tc>
          <w:tcPr>
            <w:tcW w:w="1439"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生产设备</w:t>
            </w:r>
          </w:p>
        </w:tc>
        <w:tc>
          <w:tcPr>
            <w:tcW w:w="1921"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噪声</w:t>
            </w:r>
          </w:p>
        </w:tc>
        <w:tc>
          <w:tcPr>
            <w:tcW w:w="1647"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olor w:val="000000" w:themeColor="text1"/>
                <w:szCs w:val="21"/>
                <w14:textFill>
                  <w14:solidFill>
                    <w14:schemeClr w14:val="tx1"/>
                  </w14:solidFill>
                </w14:textFill>
              </w:rPr>
            </w:pPr>
            <w:r>
              <w:rPr>
                <w:rFonts w:hint="default" w:ascii="Times New Roman" w:hAnsi="Times New Roman" w:eastAsia="宋体" w:cs="Times New Roman"/>
                <w:color w:val="000000" w:themeColor="text1"/>
                <w:spacing w:val="0"/>
                <w:position w:val="0"/>
                <w:sz w:val="21"/>
                <w:szCs w:val="21"/>
                <w:vertAlign w:val="baseline"/>
                <w:lang w:val="en-US" w:eastAsia="zh-CN"/>
                <w14:textFill>
                  <w14:solidFill>
                    <w14:schemeClr w14:val="tx1"/>
                  </w14:solidFill>
                </w14:textFill>
              </w:rPr>
              <w:t>基础减振、厂房隔声</w:t>
            </w:r>
          </w:p>
        </w:tc>
        <w:tc>
          <w:tcPr>
            <w:tcW w:w="2301" w:type="dxa"/>
            <w:noWrap w:val="0"/>
            <w:vAlign w:val="center"/>
          </w:tcPr>
          <w:p>
            <w:pPr>
              <w:keepLines w:val="0"/>
              <w:pageBreakBefore w:val="0"/>
              <w:kinsoku/>
              <w:wordWrap w:val="0"/>
              <w:topLinePunct w:val="0"/>
              <w:bidi w:val="0"/>
              <w:adjustRightInd w:val="0"/>
              <w:snapToGrid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《工业企业厂界环境噪声排放标准》（GB12348-2008）2类</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96" w:hRule="atLeast"/>
          <w:jc w:val="center"/>
        </w:trPr>
        <w:tc>
          <w:tcPr>
            <w:tcW w:w="1492"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固体废物</w:t>
            </w:r>
          </w:p>
        </w:tc>
        <w:tc>
          <w:tcPr>
            <w:tcW w:w="7308" w:type="dxa"/>
            <w:gridSpan w:val="4"/>
            <w:noWrap w:val="0"/>
            <w:vAlign w:val="center"/>
          </w:tcPr>
          <w:p>
            <w:pPr>
              <w:keepNext w:val="0"/>
              <w:keepLines w:val="0"/>
              <w:pageBreakBefore w:val="0"/>
              <w:widowControl w:val="0"/>
              <w:kinsoku/>
              <w:wordWrap w:val="0"/>
              <w:overflowPunct/>
              <w:topLinePunct w:val="0"/>
              <w:autoSpaceDE/>
              <w:autoSpaceDN/>
              <w:bidi w:val="0"/>
              <w:adjustRightInd w:val="0"/>
              <w:snapToGrid w:val="0"/>
              <w:ind w:firstLine="420" w:firstLineChars="200"/>
              <w:jc w:val="both"/>
              <w:textAlignment w:val="auto"/>
              <w:rPr>
                <w:rFonts w:hint="default" w:ascii="Times New Roman" w:hAnsi="Times New Roman" w:eastAsia="宋体" w:cs="宋体"/>
                <w:color w:val="000000" w:themeColor="text1"/>
                <w:szCs w:val="21"/>
                <w:lang w:val="en-US" w:eastAsia="zh-CN"/>
                <w14:textFill>
                  <w14:solidFill>
                    <w14:schemeClr w14:val="tx1"/>
                  </w14:solidFill>
                </w14:textFill>
              </w:rPr>
            </w:pPr>
            <w:r>
              <w:rPr>
                <w:rFonts w:hint="eastAsia" w:ascii="Times New Roman" w:hAnsi="Times New Roman" w:cs="宋体"/>
                <w:color w:val="000000" w:themeColor="text1"/>
                <w:szCs w:val="21"/>
                <w:lang w:val="en-US" w:eastAsia="zh-CN"/>
                <w14:textFill>
                  <w14:solidFill>
                    <w14:schemeClr w14:val="tx1"/>
                  </w14:solidFill>
                </w14:textFill>
              </w:rPr>
              <w:t>项目废含油抹布、劳保用品、废电解液、碱喷淋废液、废活性炭、废催化剂等危险废物分类收集，暂存于危险废物暂存间，定期委托有资质单位合理处置；生活垃圾收集于垃圾桶，交由环卫部门处理。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5" w:hRule="atLeast"/>
          <w:jc w:val="center"/>
        </w:trPr>
        <w:tc>
          <w:tcPr>
            <w:tcW w:w="1492"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土壤及地下水</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污染防治措施</w:t>
            </w:r>
          </w:p>
        </w:tc>
        <w:tc>
          <w:tcPr>
            <w:tcW w:w="7308" w:type="dxa"/>
            <w:gridSpan w:val="4"/>
            <w:noWrap w:val="0"/>
            <w:vAlign w:val="center"/>
          </w:tcPr>
          <w:p>
            <w:pPr>
              <w:keepNext w:val="0"/>
              <w:keepLines w:val="0"/>
              <w:pageBreakBefore w:val="0"/>
              <w:widowControl w:val="0"/>
              <w:kinsoku/>
              <w:wordWrap w:val="0"/>
              <w:overflowPunct/>
              <w:topLinePunct w:val="0"/>
              <w:autoSpaceDE/>
              <w:autoSpaceDN/>
              <w:bidi w:val="0"/>
              <w:adjustRightInd/>
              <w:snapToGrid/>
              <w:ind w:firstLine="420" w:firstLineChars="200"/>
              <w:jc w:val="both"/>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采取分区防渗措施，应急事故池、收集沟、管道、各类危险废物储存区、危废暂存间、碱液喷淋塔</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等</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重点区域</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采用防渗、防腐措施（等效黏土防渗层Mb≥6.0m</w:t>
            </w:r>
            <w:r>
              <w:rPr>
                <w:rFonts w:hint="default" w:ascii="Times New Roman" w:hAnsi="Times New Roman" w:eastAsia="宋体" w:cs="Times New Roman"/>
                <w:color w:val="000000" w:themeColor="text1"/>
                <w:spacing w:val="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K≤1.0×10</w:t>
            </w:r>
            <w:r>
              <w:rPr>
                <w:rFonts w:hint="default" w:ascii="Times New Roman" w:hAnsi="Times New Roman" w:eastAsia="宋体" w:cs="Times New Roman"/>
                <w:color w:val="000000" w:themeColor="text1"/>
                <w:spacing w:val="0"/>
                <w:position w:val="0"/>
                <w:sz w:val="21"/>
                <w:szCs w:val="21"/>
                <w:vertAlign w:val="superscript"/>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cm/s</w:t>
            </w:r>
            <w:r>
              <w:rPr>
                <w:rFonts w:hint="eastAsia" w:ascii="Times New Roman" w:hAnsi="Times New Roman" w:eastAsia="宋体" w:cs="Times New Roman"/>
                <w:color w:val="000000" w:themeColor="text1"/>
                <w:spacing w:val="0"/>
                <w:position w:val="0"/>
                <w:sz w:val="21"/>
                <w:szCs w:val="21"/>
                <w:lang w:eastAsia="zh-CN"/>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厂区运输道路等一般防渗区，采取地面硬化措施。（</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等效黏土防渗层Mb≥</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1.5</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m</w:t>
            </w:r>
            <w:r>
              <w:rPr>
                <w:rFonts w:hint="default" w:ascii="Times New Roman" w:hAnsi="Times New Roman" w:eastAsia="宋体" w:cs="Times New Roman"/>
                <w:color w:val="000000" w:themeColor="text1"/>
                <w:spacing w:val="0"/>
                <w:position w:val="0"/>
                <w:sz w:val="21"/>
                <w:szCs w:val="21"/>
                <w:lang w:eastAsia="zh-CN"/>
                <w14:textFill>
                  <w14:solidFill>
                    <w14:schemeClr w14:val="tx1"/>
                  </w14:solidFill>
                </w14:textFill>
              </w:rPr>
              <w:t>，</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K≤1.0×10</w:t>
            </w:r>
            <w:r>
              <w:rPr>
                <w:rFonts w:hint="default" w:ascii="Times New Roman" w:hAnsi="Times New Roman" w:eastAsia="宋体" w:cs="Times New Roman"/>
                <w:color w:val="000000" w:themeColor="text1"/>
                <w:spacing w:val="0"/>
                <w:position w:val="0"/>
                <w:sz w:val="21"/>
                <w:szCs w:val="21"/>
                <w:vertAlign w:val="superscript"/>
                <w14:textFill>
                  <w14:solidFill>
                    <w14:schemeClr w14:val="tx1"/>
                  </w14:solidFill>
                </w14:textFill>
              </w:rPr>
              <w:t>-</w:t>
            </w:r>
            <w:r>
              <w:rPr>
                <w:rFonts w:hint="eastAsia" w:ascii="Times New Roman" w:hAnsi="Times New Roman" w:eastAsia="宋体" w:cs="Times New Roman"/>
                <w:color w:val="000000" w:themeColor="text1"/>
                <w:spacing w:val="0"/>
                <w:position w:val="0"/>
                <w:sz w:val="21"/>
                <w:szCs w:val="21"/>
                <w:vertAlign w:val="superscript"/>
                <w:lang w:val="en-US" w:eastAsia="zh-CN"/>
                <w14:textFill>
                  <w14:solidFill>
                    <w14:schemeClr w14:val="tx1"/>
                  </w14:solidFill>
                </w14:textFill>
              </w:rPr>
              <w:t>7</w:t>
            </w:r>
            <w:r>
              <w:rPr>
                <w:rFonts w:hint="default" w:ascii="Times New Roman" w:hAnsi="Times New Roman" w:eastAsia="宋体" w:cs="Times New Roman"/>
                <w:color w:val="000000" w:themeColor="text1"/>
                <w:spacing w:val="0"/>
                <w:position w:val="0"/>
                <w:sz w:val="21"/>
                <w:szCs w:val="21"/>
                <w14:textFill>
                  <w14:solidFill>
                    <w14:schemeClr w14:val="tx1"/>
                  </w14:solidFill>
                </w14:textFill>
              </w:rPr>
              <w:t>cm/s</w:t>
            </w:r>
            <w:r>
              <w:rPr>
                <w:rFonts w:hint="eastAsia" w:ascii="Times New Roman" w:hAnsi="Times New Roman" w:eastAsia="宋体" w:cs="Times New Roman"/>
                <w:color w:val="000000" w:themeColor="text1"/>
                <w:spacing w:val="0"/>
                <w:position w:val="0"/>
                <w:sz w:val="21"/>
                <w:szCs w:val="21"/>
                <w:lang w:val="en-US" w:eastAsia="zh-CN"/>
                <w14:textFill>
                  <w14:solidFill>
                    <w14:schemeClr w14:val="tx1"/>
                  </w14:solidFill>
                </w14:textFill>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1492" w:type="dxa"/>
            <w:noWrap w:val="0"/>
            <w:vAlign w:val="center"/>
          </w:tcPr>
          <w:p>
            <w:pPr>
              <w:keepLines w:val="0"/>
              <w:pageBreakBefore w:val="0"/>
              <w:kinsoku/>
              <w:wordWrap w:val="0"/>
              <w:topLinePunct w:val="0"/>
              <w:bidi w:val="0"/>
              <w:adjustRightInd w:val="0"/>
              <w:snapToGrid w:val="0"/>
              <w:jc w:val="center"/>
              <w:rPr>
                <w:rFonts w:hint="eastAsia" w:ascii="Times New Roman" w:hAnsi="Times New Roman" w:cs="宋体"/>
                <w:color w:val="000000" w:themeColor="text1"/>
                <w:szCs w:val="21"/>
                <w14:textFill>
                  <w14:solidFill>
                    <w14:schemeClr w14:val="tx1"/>
                  </w14:solidFill>
                </w14:textFill>
              </w:rPr>
            </w:pPr>
            <w:r>
              <w:rPr>
                <w:rFonts w:hint="eastAsia" w:ascii="Times New Roman" w:hAnsi="Times New Roman" w:cs="宋体"/>
                <w:color w:val="000000" w:themeColor="text1"/>
                <w:szCs w:val="21"/>
                <w14:textFill>
                  <w14:solidFill>
                    <w14:schemeClr w14:val="tx1"/>
                  </w14:solidFill>
                </w14:textFill>
              </w:rPr>
              <w:t>生态保护措施</w:t>
            </w:r>
          </w:p>
        </w:tc>
        <w:tc>
          <w:tcPr>
            <w:tcW w:w="7308" w:type="dxa"/>
            <w:gridSpan w:val="4"/>
            <w:noWrap w:val="0"/>
            <w:vAlign w:val="center"/>
          </w:tcPr>
          <w:p>
            <w:pPr>
              <w:keepLines w:val="0"/>
              <w:pageBreakBefore w:val="0"/>
              <w:kinsoku/>
              <w:wordWrap w:val="0"/>
              <w:topLinePunct w:val="0"/>
              <w:bidi w:val="0"/>
              <w:jc w:val="center"/>
              <w:rPr>
                <w:rFonts w:ascii="Times New Roman" w:hAnsi="Times New Roman"/>
                <w:color w:val="000000" w:themeColor="text1"/>
                <w:szCs w:val="21"/>
                <w14:textFill>
                  <w14:solidFill>
                    <w14:schemeClr w14:val="tx1"/>
                  </w14:solidFill>
                </w14:textFill>
              </w:rPr>
            </w:pPr>
            <w:r>
              <w:rPr>
                <w:rFonts w:ascii="Times New Roman" w:hAnsi="Times New Roman"/>
                <w:color w:val="000000" w:themeColor="text1"/>
                <w:szCs w:val="21"/>
                <w14:textFill>
                  <w14:solidFill>
                    <w14:schemeClr w14:val="tx1"/>
                  </w14:solidFill>
                </w14:textFill>
              </w:rPr>
              <w:t>区域内无敏感生态保护目标</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99" w:hRule="atLeast"/>
          <w:jc w:val="center"/>
        </w:trPr>
        <w:tc>
          <w:tcPr>
            <w:tcW w:w="1492" w:type="dxa"/>
            <w:noWrap w:val="0"/>
            <w:vAlign w:val="center"/>
          </w:tcPr>
          <w:p>
            <w:pPr>
              <w:keepLines w:val="0"/>
              <w:pageBreakBefore w:val="0"/>
              <w:kinsoku/>
              <w:wordWrap w:val="0"/>
              <w:topLinePunct w:val="0"/>
              <w:bidi w:val="0"/>
              <w:adjustRightInd w:val="0"/>
              <w:snapToGrid w:val="0"/>
              <w:jc w:val="center"/>
              <w:rPr>
                <w:rFonts w:ascii="Times New Roman" w:hAnsi="Times New Roman" w:cs="宋体"/>
                <w:color w:val="000000" w:themeColor="text1"/>
                <w:spacing w:val="-8"/>
                <w:szCs w:val="21"/>
                <w14:textFill>
                  <w14:solidFill>
                    <w14:schemeClr w14:val="tx1"/>
                  </w14:solidFill>
                </w14:textFill>
              </w:rPr>
            </w:pPr>
            <w:r>
              <w:rPr>
                <w:rFonts w:hint="eastAsia" w:ascii="Times New Roman" w:hAnsi="Times New Roman" w:cs="宋体"/>
                <w:color w:val="000000" w:themeColor="text1"/>
                <w:spacing w:val="-8"/>
                <w:szCs w:val="21"/>
                <w14:textFill>
                  <w14:solidFill>
                    <w14:schemeClr w14:val="tx1"/>
                  </w14:solidFill>
                </w14:textFill>
              </w:rPr>
              <w:t>环境风险</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8"/>
                <w:szCs w:val="21"/>
                <w14:textFill>
                  <w14:solidFill>
                    <w14:schemeClr w14:val="tx1"/>
                  </w14:solidFill>
                </w14:textFill>
              </w:rPr>
            </w:pPr>
            <w:r>
              <w:rPr>
                <w:rFonts w:hint="eastAsia" w:ascii="Times New Roman" w:hAnsi="Times New Roman" w:cs="宋体"/>
                <w:color w:val="000000" w:themeColor="text1"/>
                <w:spacing w:val="-8"/>
                <w:szCs w:val="21"/>
                <w14:textFill>
                  <w14:solidFill>
                    <w14:schemeClr w14:val="tx1"/>
                  </w14:solidFill>
                </w14:textFill>
              </w:rPr>
              <w:t>防范措施</w:t>
            </w:r>
          </w:p>
        </w:tc>
        <w:tc>
          <w:tcPr>
            <w:tcW w:w="7308" w:type="dxa"/>
            <w:gridSpan w:val="4"/>
            <w:noWrap w:val="0"/>
            <w:vAlign w:val="center"/>
          </w:tcPr>
          <w:p>
            <w:pPr>
              <w:keepNext w:val="0"/>
              <w:keepLines w:val="0"/>
              <w:pageBreakBefore w:val="0"/>
              <w:widowControl w:val="0"/>
              <w:kinsoku/>
              <w:wordWrap w:val="0"/>
              <w:overflowPunct/>
              <w:topLinePunct w:val="0"/>
              <w:autoSpaceDE/>
              <w:autoSpaceDN/>
              <w:bidi w:val="0"/>
              <w:adjustRightInd/>
              <w:snapToGrid/>
              <w:ind w:firstLine="420" w:firstLineChars="200"/>
              <w:jc w:val="both"/>
              <w:textAlignment w:val="auto"/>
              <w:rPr>
                <w:rFonts w:hint="default" w:ascii="Times New Roman" w:hAnsi="Times New Roman" w:eastAsia="宋体"/>
                <w:color w:val="000000" w:themeColor="text1"/>
                <w:szCs w:val="21"/>
                <w:lang w:val="en-US" w:eastAsia="zh-CN"/>
                <w14:textFill>
                  <w14:solidFill>
                    <w14:schemeClr w14:val="tx1"/>
                  </w14:solidFill>
                </w14:textFill>
              </w:rPr>
            </w:pPr>
            <w:r>
              <w:rPr>
                <w:rFonts w:hint="eastAsia" w:ascii="Times New Roman" w:hAnsi="Times New Roman"/>
                <w:color w:val="000000" w:themeColor="text1"/>
                <w:szCs w:val="21"/>
                <w:lang w:val="en-US" w:eastAsia="zh-CN"/>
                <w14:textFill>
                  <w14:solidFill>
                    <w14:schemeClr w14:val="tx1"/>
                  </w14:solidFill>
                </w14:textFill>
              </w:rPr>
              <w:t>配备相应的风险防范设施和措施，如灭火器、消防沙、视频监控、事故池等；设立风险防范管理制度。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1492" w:type="dxa"/>
            <w:noWrap w:val="0"/>
            <w:vAlign w:val="center"/>
          </w:tcPr>
          <w:p>
            <w:pPr>
              <w:keepLines w:val="0"/>
              <w:pageBreakBefore w:val="0"/>
              <w:kinsoku/>
              <w:wordWrap w:val="0"/>
              <w:topLinePunct w:val="0"/>
              <w:bidi w:val="0"/>
              <w:adjustRightInd w:val="0"/>
              <w:snapToGrid w:val="0"/>
              <w:jc w:val="center"/>
              <w:rPr>
                <w:rFonts w:ascii="Times New Roman" w:hAnsi="Times New Roman" w:cs="宋体"/>
                <w:color w:val="000000" w:themeColor="text1"/>
                <w:spacing w:val="-8"/>
                <w:szCs w:val="21"/>
                <w14:textFill>
                  <w14:solidFill>
                    <w14:schemeClr w14:val="tx1"/>
                  </w14:solidFill>
                </w14:textFill>
              </w:rPr>
            </w:pPr>
            <w:r>
              <w:rPr>
                <w:rFonts w:hint="eastAsia" w:ascii="Times New Roman" w:hAnsi="Times New Roman" w:cs="宋体"/>
                <w:color w:val="000000" w:themeColor="text1"/>
                <w:spacing w:val="-8"/>
                <w:szCs w:val="21"/>
                <w14:textFill>
                  <w14:solidFill>
                    <w14:schemeClr w14:val="tx1"/>
                  </w14:solidFill>
                </w14:textFill>
              </w:rPr>
              <w:t>其他环境</w:t>
            </w:r>
          </w:p>
          <w:p>
            <w:pPr>
              <w:keepLines w:val="0"/>
              <w:pageBreakBefore w:val="0"/>
              <w:kinsoku/>
              <w:wordWrap w:val="0"/>
              <w:topLinePunct w:val="0"/>
              <w:bidi w:val="0"/>
              <w:adjustRightInd w:val="0"/>
              <w:snapToGrid w:val="0"/>
              <w:jc w:val="center"/>
              <w:rPr>
                <w:rFonts w:hint="eastAsia" w:ascii="Times New Roman" w:hAnsi="Times New Roman" w:cs="宋体"/>
                <w:color w:val="000000" w:themeColor="text1"/>
                <w:spacing w:val="-8"/>
                <w:szCs w:val="21"/>
                <w14:textFill>
                  <w14:solidFill>
                    <w14:schemeClr w14:val="tx1"/>
                  </w14:solidFill>
                </w14:textFill>
              </w:rPr>
            </w:pPr>
            <w:r>
              <w:rPr>
                <w:rFonts w:hint="eastAsia" w:ascii="Times New Roman" w:hAnsi="Times New Roman" w:cs="宋体"/>
                <w:color w:val="000000" w:themeColor="text1"/>
                <w:spacing w:val="-8"/>
                <w:szCs w:val="21"/>
                <w14:textFill>
                  <w14:solidFill>
                    <w14:schemeClr w14:val="tx1"/>
                  </w14:solidFill>
                </w14:textFill>
              </w:rPr>
              <w:t>管理要求</w:t>
            </w:r>
          </w:p>
        </w:tc>
        <w:tc>
          <w:tcPr>
            <w:tcW w:w="7308" w:type="dxa"/>
            <w:gridSpan w:val="4"/>
            <w:noWrap w:val="0"/>
            <w:vAlign w:val="center"/>
          </w:tcPr>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（1）项目建设过程中主体工程、环保设施应同时设计、同时施工、同时投产运行</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按照《排污口规范化整治技术要求》（环监[1996]470号），规范化设置排污口；按照国家标准《环境保护图形标志》(GB15562.1—1995)(GB15562.2—1995)的规定，排污口建立相应的标识；</w:t>
            </w:r>
          </w:p>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（2）</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项目建成后按照《建设项目竣工环境保护验收暂行办法》要求开展项目竣工环境保护验收工作。</w:t>
            </w:r>
          </w:p>
          <w:p>
            <w:pPr>
              <w:keepNext w:val="0"/>
              <w:keepLines w:val="0"/>
              <w:pageBreakBefore w:val="0"/>
              <w:widowControl/>
              <w:suppressLineNumbers w:val="0"/>
              <w:kinsoku/>
              <w:wordWrap w:val="0"/>
              <w:overflowPunct/>
              <w:topLinePunct w:val="0"/>
              <w:autoSpaceDE/>
              <w:autoSpaceDN/>
              <w:bidi w:val="0"/>
              <w:adjustRightInd/>
              <w:snapToGrid/>
              <w:jc w:val="both"/>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w:t>
            </w:r>
            <w:r>
              <w:rPr>
                <w:rFonts w:hint="eastAsia" w:ascii="Times New Roman" w:hAnsi="Times New Roman" w:eastAsia="宋体" w:cs="Times New Roman"/>
                <w:color w:val="000000" w:themeColor="text1"/>
                <w:kern w:val="0"/>
                <w:sz w:val="21"/>
                <w:szCs w:val="21"/>
                <w:lang w:val="en-US" w:eastAsia="zh-CN" w:bidi="ar"/>
                <w14:textFill>
                  <w14:solidFill>
                    <w14:schemeClr w14:val="tx1"/>
                  </w14:solidFill>
                </w14:textFill>
              </w:rPr>
              <w:t>3</w:t>
            </w:r>
            <w:r>
              <w:rPr>
                <w:rFonts w:hint="default" w:ascii="Times New Roman" w:hAnsi="Times New Roman" w:eastAsia="宋体" w:cs="Times New Roman"/>
                <w:color w:val="000000" w:themeColor="text1"/>
                <w:kern w:val="0"/>
                <w:sz w:val="21"/>
                <w:szCs w:val="21"/>
                <w:lang w:val="en-US" w:eastAsia="zh-CN" w:bidi="ar"/>
                <w14:textFill>
                  <w14:solidFill>
                    <w14:schemeClr w14:val="tx1"/>
                  </w14:solidFill>
                </w14:textFill>
              </w:rPr>
              <w:t>）按照《排污许可证申请与核发技术规范 工业固体废物和危险废物治理》（HJ1033-2019）申请排污许可证并进行自行监测。</w:t>
            </w:r>
          </w:p>
          <w:p>
            <w:pPr>
              <w:pStyle w:val="6"/>
              <w:keepLines w:val="0"/>
              <w:pageBreakBefore w:val="0"/>
              <w:kinsoku/>
              <w:wordWrap w:val="0"/>
              <w:topLinePunct w:val="0"/>
              <w:bidi w:val="0"/>
              <w:rPr>
                <w:rFonts w:ascii="Times New Roman" w:hAnsi="Times New Roman"/>
                <w:color w:val="000000" w:themeColor="text1"/>
                <w:sz w:val="21"/>
                <w:szCs w:val="21"/>
                <w14:textFill>
                  <w14:solidFill>
                    <w14:schemeClr w14:val="tx1"/>
                  </w14:solidFill>
                </w14:textFill>
              </w:rPr>
            </w:pPr>
          </w:p>
          <w:p>
            <w:pPr>
              <w:pStyle w:val="6"/>
              <w:keepLines w:val="0"/>
              <w:pageBreakBefore w:val="0"/>
              <w:kinsoku/>
              <w:wordWrap w:val="0"/>
              <w:topLinePunct w:val="0"/>
              <w:bidi w:val="0"/>
              <w:rPr>
                <w:rFonts w:hint="eastAsia" w:ascii="Times New Roman" w:hAnsi="Times New Roman"/>
                <w:color w:val="000000" w:themeColor="text1"/>
                <w:sz w:val="21"/>
                <w:szCs w:val="21"/>
                <w14:textFill>
                  <w14:solidFill>
                    <w14:schemeClr w14:val="tx1"/>
                  </w14:solidFill>
                </w14:textFill>
              </w:rPr>
            </w:pPr>
          </w:p>
        </w:tc>
      </w:tr>
    </w:tbl>
    <w:p>
      <w:pPr>
        <w:pStyle w:val="15"/>
        <w:keepLines w:val="0"/>
        <w:pageBreakBefore w:val="0"/>
        <w:kinsoku/>
        <w:wordWrap w:val="0"/>
        <w:topLinePunct w:val="0"/>
        <w:bidi w:val="0"/>
        <w:jc w:val="center"/>
        <w:outlineLvl w:val="0"/>
        <w:rPr>
          <w:rFonts w:ascii="Times New Roman" w:hAnsi="Times New Roman" w:eastAsia="黑体"/>
          <w:snapToGrid w:val="0"/>
          <w:color w:val="000000" w:themeColor="text1"/>
          <w:sz w:val="30"/>
          <w:szCs w:val="30"/>
          <w14:textFill>
            <w14:solidFill>
              <w14:schemeClr w14:val="tx1"/>
            </w14:solidFill>
          </w14:textFill>
        </w:rPr>
      </w:pPr>
      <w:r>
        <w:rPr>
          <w:rFonts w:ascii="Times New Roman" w:hAnsi="Times New Roman"/>
          <w:snapToGrid w:val="0"/>
          <w:color w:val="000000" w:themeColor="text1"/>
          <w14:textFill>
            <w14:solidFill>
              <w14:schemeClr w14:val="tx1"/>
            </w14:solidFill>
          </w14:textFill>
        </w:rPr>
        <w:br w:type="page"/>
      </w:r>
      <w:r>
        <w:rPr>
          <w:rFonts w:hint="eastAsia" w:ascii="Times New Roman" w:hAnsi="Times New Roman" w:eastAsia="黑体"/>
          <w:snapToGrid w:val="0"/>
          <w:color w:val="000000" w:themeColor="text1"/>
          <w:sz w:val="30"/>
          <w:szCs w:val="30"/>
          <w14:textFill>
            <w14:solidFill>
              <w14:schemeClr w14:val="tx1"/>
            </w14:solidFill>
          </w14:textFill>
        </w:rPr>
        <w:t>六、结论</w:t>
      </w:r>
    </w:p>
    <w:tbl>
      <w:tblPr>
        <w:tblStyle w:val="18"/>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noWrap w:val="0"/>
            <w:vAlign w:val="top"/>
          </w:tcPr>
          <w:p>
            <w:pPr>
              <w:keepNext w:val="0"/>
              <w:keepLines w:val="0"/>
              <w:pageBreakBefore w:val="0"/>
              <w:widowControl w:val="0"/>
              <w:kinsoku/>
              <w:wordWrap w:val="0"/>
              <w:overflowPunct/>
              <w:topLinePunct w:val="0"/>
              <w:autoSpaceDE/>
              <w:autoSpaceDN/>
              <w:bidi w:val="0"/>
              <w:adjustRightInd/>
              <w:snapToGrid/>
              <w:spacing w:line="500" w:lineRule="exact"/>
              <w:ind w:firstLine="480" w:firstLineChars="200"/>
              <w:textAlignment w:val="auto"/>
              <w:rPr>
                <w:rFonts w:ascii="Times New Roman" w:hAnsi="Times New Roman" w:cs="宋体"/>
                <w:color w:val="000000" w:themeColor="text1"/>
                <w:sz w:val="24"/>
                <w14:textFill>
                  <w14:solidFill>
                    <w14:schemeClr w14:val="tx1"/>
                  </w14:solidFill>
                </w14:textFill>
              </w:rPr>
            </w:pPr>
            <w:r>
              <w:rPr>
                <w:rFonts w:ascii="Times New Roman" w:hAnsi="Times New Roman"/>
                <w:bCs/>
                <w:color w:val="000000" w:themeColor="text1"/>
                <w:sz w:val="24"/>
                <w14:textFill>
                  <w14:solidFill>
                    <w14:schemeClr w14:val="tx1"/>
                  </w14:solidFill>
                </w14:textFill>
              </w:rPr>
              <w:t>本项目</w:t>
            </w:r>
            <w:r>
              <w:rPr>
                <w:rFonts w:ascii="Times New Roman" w:hAnsi="Times New Roman"/>
                <w:color w:val="000000" w:themeColor="text1"/>
                <w:kern w:val="0"/>
                <w:sz w:val="24"/>
                <w:highlight w:val="none"/>
                <w:lang w:val="zh-CN"/>
                <w14:textFill>
                  <w14:solidFill>
                    <w14:schemeClr w14:val="tx1"/>
                  </w14:solidFill>
                </w14:textFill>
              </w:rPr>
              <w:t>符合国家产业政策，项目</w:t>
            </w:r>
            <w:r>
              <w:rPr>
                <w:rFonts w:hint="eastAsia" w:ascii="Times New Roman" w:hAnsi="Times New Roman"/>
                <w:color w:val="000000" w:themeColor="text1"/>
                <w:kern w:val="0"/>
                <w:sz w:val="24"/>
                <w:highlight w:val="none"/>
                <w14:textFill>
                  <w14:solidFill>
                    <w14:schemeClr w14:val="tx1"/>
                  </w14:solidFill>
                </w14:textFill>
              </w:rPr>
              <w:t>用地</w:t>
            </w:r>
            <w:r>
              <w:rPr>
                <w:rFonts w:ascii="Times New Roman" w:hAnsi="Times New Roman"/>
                <w:color w:val="000000" w:themeColor="text1"/>
                <w:kern w:val="0"/>
                <w:sz w:val="24"/>
                <w:highlight w:val="none"/>
                <w:lang w:val="zh-CN"/>
                <w14:textFill>
                  <w14:solidFill>
                    <w14:schemeClr w14:val="tx1"/>
                  </w14:solidFill>
                </w14:textFill>
              </w:rPr>
              <w:t>选址符合</w:t>
            </w:r>
            <w:r>
              <w:rPr>
                <w:rFonts w:hint="eastAsia" w:ascii="Times New Roman" w:hAnsi="Times New Roman"/>
                <w:color w:val="000000" w:themeColor="text1"/>
                <w:kern w:val="0"/>
                <w:sz w:val="24"/>
                <w:highlight w:val="none"/>
                <w14:textFill>
                  <w14:solidFill>
                    <w14:schemeClr w14:val="tx1"/>
                  </w14:solidFill>
                </w14:textFill>
              </w:rPr>
              <w:t>当地土地利用政策。</w:t>
            </w:r>
            <w:r>
              <w:rPr>
                <w:rFonts w:ascii="Times New Roman" w:hAnsi="Times New Roman"/>
                <w:color w:val="000000" w:themeColor="text1"/>
                <w:kern w:val="0"/>
                <w:sz w:val="24"/>
                <w:highlight w:val="none"/>
                <w:lang w:val="zh-CN"/>
                <w14:textFill>
                  <w14:solidFill>
                    <w14:schemeClr w14:val="tx1"/>
                  </w14:solidFill>
                </w14:textFill>
              </w:rPr>
              <w:t>通过本项目所在地环境现状调查、污染分析、环境影响分析可知，</w:t>
            </w:r>
            <w:r>
              <w:rPr>
                <w:rFonts w:hint="eastAsia" w:ascii="Times New Roman" w:hAnsi="Times New Roman"/>
                <w:color w:val="000000" w:themeColor="text1"/>
                <w:kern w:val="0"/>
                <w:sz w:val="24"/>
                <w:highlight w:val="none"/>
                <w:lang w:val="en-US" w:eastAsia="zh-CN"/>
                <w14:textFill>
                  <w14:solidFill>
                    <w14:schemeClr w14:val="tx1"/>
                  </w14:solidFill>
                </w14:textFill>
              </w:rPr>
              <w:t>在认真</w:t>
            </w:r>
            <w:r>
              <w:rPr>
                <w:rFonts w:ascii="Times New Roman" w:hAnsi="Times New Roman"/>
                <w:color w:val="000000" w:themeColor="text1"/>
                <w:kern w:val="0"/>
                <w:sz w:val="24"/>
                <w:highlight w:val="none"/>
                <w:lang w:val="zh-CN"/>
                <w14:textFill>
                  <w14:solidFill>
                    <w14:schemeClr w14:val="tx1"/>
                  </w14:solidFill>
                </w14:textFill>
              </w:rPr>
              <w:t>落实本环评提出的各项污染防治</w:t>
            </w:r>
            <w:r>
              <w:rPr>
                <w:rFonts w:hint="eastAsia" w:ascii="Times New Roman" w:hAnsi="Times New Roman"/>
                <w:color w:val="000000" w:themeColor="text1"/>
                <w:kern w:val="0"/>
                <w:sz w:val="24"/>
                <w:highlight w:val="none"/>
                <w:lang w:val="en-US" w:eastAsia="zh-CN"/>
                <w14:textFill>
                  <w14:solidFill>
                    <w14:schemeClr w14:val="tx1"/>
                  </w14:solidFill>
                </w14:textFill>
              </w:rPr>
              <w:t>措施和评价建议后</w:t>
            </w:r>
            <w:r>
              <w:rPr>
                <w:rFonts w:ascii="Times New Roman" w:hAnsi="Times New Roman"/>
                <w:color w:val="000000" w:themeColor="text1"/>
                <w:kern w:val="0"/>
                <w:sz w:val="24"/>
                <w:highlight w:val="none"/>
                <w:lang w:val="zh-CN"/>
                <w14:textFill>
                  <w14:solidFill>
                    <w14:schemeClr w14:val="tx1"/>
                  </w14:solidFill>
                </w14:textFill>
              </w:rPr>
              <w:t>，</w:t>
            </w:r>
            <w:r>
              <w:rPr>
                <w:rFonts w:hint="eastAsia" w:ascii="Times New Roman" w:hAnsi="Times New Roman"/>
                <w:color w:val="000000" w:themeColor="text1"/>
                <w:kern w:val="0"/>
                <w:sz w:val="24"/>
                <w:highlight w:val="none"/>
                <w:lang w:val="en-US" w:eastAsia="zh-CN"/>
                <w14:textFill>
                  <w14:solidFill>
                    <w14:schemeClr w14:val="tx1"/>
                  </w14:solidFill>
                </w14:textFill>
              </w:rPr>
              <w:t>各项污染因素</w:t>
            </w:r>
            <w:r>
              <w:rPr>
                <w:rFonts w:ascii="Times New Roman" w:hAnsi="Times New Roman"/>
                <w:color w:val="000000" w:themeColor="text1"/>
                <w:kern w:val="0"/>
                <w:sz w:val="24"/>
                <w:highlight w:val="none"/>
                <w:lang w:val="zh-CN"/>
                <w14:textFill>
                  <w14:solidFill>
                    <w14:schemeClr w14:val="tx1"/>
                  </w14:solidFill>
                </w14:textFill>
              </w:rPr>
              <w:t>对</w:t>
            </w:r>
            <w:r>
              <w:rPr>
                <w:rFonts w:hint="eastAsia" w:ascii="Times New Roman" w:hAnsi="Times New Roman"/>
                <w:color w:val="000000" w:themeColor="text1"/>
                <w:kern w:val="0"/>
                <w:sz w:val="24"/>
                <w:highlight w:val="none"/>
                <w:lang w:val="en-US" w:eastAsia="zh-CN"/>
                <w14:textFill>
                  <w14:solidFill>
                    <w14:schemeClr w14:val="tx1"/>
                  </w14:solidFill>
                </w14:textFill>
              </w:rPr>
              <w:t>周围</w:t>
            </w:r>
            <w:r>
              <w:rPr>
                <w:rFonts w:ascii="Times New Roman" w:hAnsi="Times New Roman"/>
                <w:color w:val="000000" w:themeColor="text1"/>
                <w:kern w:val="0"/>
                <w:sz w:val="24"/>
                <w:highlight w:val="none"/>
                <w:lang w:val="zh-CN"/>
                <w14:textFill>
                  <w14:solidFill>
                    <w14:schemeClr w14:val="tx1"/>
                  </w14:solidFill>
                </w14:textFill>
              </w:rPr>
              <w:t>环境影响</w:t>
            </w:r>
            <w:r>
              <w:rPr>
                <w:rFonts w:hint="eastAsia" w:ascii="Times New Roman" w:hAnsi="Times New Roman"/>
                <w:color w:val="000000" w:themeColor="text1"/>
                <w:kern w:val="0"/>
                <w:sz w:val="24"/>
                <w:highlight w:val="none"/>
                <w:lang w:val="en-US" w:eastAsia="zh-CN"/>
                <w14:textFill>
                  <w14:solidFill>
                    <w14:schemeClr w14:val="tx1"/>
                  </w14:solidFill>
                </w14:textFill>
              </w:rPr>
              <w:t>较小，可以实现项目经济效率、社会效益和环保效益的协调发展</w:t>
            </w:r>
            <w:r>
              <w:rPr>
                <w:rFonts w:ascii="Times New Roman" w:hAnsi="Times New Roman"/>
                <w:color w:val="000000" w:themeColor="text1"/>
                <w:kern w:val="0"/>
                <w:sz w:val="24"/>
                <w:highlight w:val="none"/>
                <w:lang w:val="zh-CN"/>
                <w14:textFill>
                  <w14:solidFill>
                    <w14:schemeClr w14:val="tx1"/>
                  </w14:solidFill>
                </w14:textFill>
              </w:rPr>
              <w:t>。因此，从环保角度出发，本项目的建设可行</w:t>
            </w:r>
            <w:r>
              <w:rPr>
                <w:rFonts w:ascii="Times New Roman" w:hAnsi="Times New Roman"/>
                <w:bCs/>
                <w:color w:val="000000" w:themeColor="text1"/>
                <w:sz w:val="24"/>
                <w14:textFill>
                  <w14:solidFill>
                    <w14:schemeClr w14:val="tx1"/>
                  </w14:solidFill>
                </w14:textFill>
              </w:rPr>
              <w:t>。</w:t>
            </w:r>
          </w:p>
        </w:tc>
      </w:tr>
    </w:tbl>
    <w:p>
      <w:pPr>
        <w:keepLines w:val="0"/>
        <w:pageBreakBefore w:val="0"/>
        <w:kinsoku/>
        <w:wordWrap w:val="0"/>
        <w:topLinePunct w:val="0"/>
        <w:bidi w:val="0"/>
        <w:rPr>
          <w:rFonts w:ascii="Times New Roman" w:hAnsi="Times New Roman"/>
          <w:color w:val="000000" w:themeColor="text1"/>
          <w14:textFill>
            <w14:solidFill>
              <w14:schemeClr w14:val="tx1"/>
            </w14:solidFill>
          </w14:textFill>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15"/>
        <w:keepLines w:val="0"/>
        <w:pageBreakBefore w:val="0"/>
        <w:kinsoku/>
        <w:wordWrap w:val="0"/>
        <w:topLinePunct w:val="0"/>
        <w:bidi w:val="0"/>
        <w:adjustRightInd w:val="0"/>
        <w:snapToGrid w:val="0"/>
        <w:spacing w:before="0" w:beforeAutospacing="0" w:after="0" w:afterAutospacing="0" w:line="648" w:lineRule="auto"/>
        <w:outlineLvl w:val="0"/>
        <w:rPr>
          <w:rFonts w:ascii="Times New Roman" w:hAnsi="Times New Roman" w:eastAsia="黑体"/>
          <w:snapToGrid w:val="0"/>
          <w:color w:val="000000" w:themeColor="text1"/>
          <w:sz w:val="32"/>
          <w:szCs w:val="32"/>
          <w14:textFill>
            <w14:solidFill>
              <w14:schemeClr w14:val="tx1"/>
            </w14:solidFill>
          </w14:textFill>
        </w:rPr>
      </w:pPr>
      <w:r>
        <w:rPr>
          <w:rFonts w:hint="eastAsia" w:ascii="Times New Roman" w:hAnsi="Times New Roman" w:eastAsia="黑体"/>
          <w:snapToGrid w:val="0"/>
          <w:color w:val="000000" w:themeColor="text1"/>
          <w:sz w:val="32"/>
          <w:szCs w:val="32"/>
          <w14:textFill>
            <w14:solidFill>
              <w14:schemeClr w14:val="tx1"/>
            </w14:solidFill>
          </w14:textFill>
        </w:rPr>
        <w:t>附表</w:t>
      </w:r>
    </w:p>
    <w:p>
      <w:pPr>
        <w:pStyle w:val="15"/>
        <w:keepNext w:val="0"/>
        <w:keepLines w:val="0"/>
        <w:pageBreakBefore w:val="0"/>
        <w:widowControl/>
        <w:kinsoku/>
        <w:wordWrap w:val="0"/>
        <w:overflowPunct/>
        <w:topLinePunct w:val="0"/>
        <w:autoSpaceDE/>
        <w:autoSpaceDN/>
        <w:bidi w:val="0"/>
        <w:adjustRightInd w:val="0"/>
        <w:snapToGrid w:val="0"/>
        <w:spacing w:before="0" w:beforeAutospacing="0" w:after="0" w:afterAutospacing="0" w:line="240" w:lineRule="auto"/>
        <w:jc w:val="center"/>
        <w:textAlignment w:val="auto"/>
        <w:outlineLvl w:val="0"/>
        <w:rPr>
          <w:rFonts w:hint="eastAsia" w:ascii="Times New Roman" w:hAnsi="Times New Roman" w:eastAsia="方正小标宋_GBK"/>
          <w:snapToGrid w:val="0"/>
          <w:color w:val="000000" w:themeColor="text1"/>
          <w:sz w:val="38"/>
          <w:szCs w:val="38"/>
          <w14:textFill>
            <w14:solidFill>
              <w14:schemeClr w14:val="tx1"/>
            </w14:solidFill>
          </w14:textFill>
        </w:rPr>
      </w:pPr>
      <w:r>
        <w:rPr>
          <w:rFonts w:hint="eastAsia" w:ascii="Times New Roman" w:hAnsi="Times New Roman" w:eastAsia="方正小标宋_GBK"/>
          <w:snapToGrid w:val="0"/>
          <w:color w:val="000000" w:themeColor="text1"/>
          <w:sz w:val="38"/>
          <w:szCs w:val="38"/>
          <w14:textFill>
            <w14:solidFill>
              <w14:schemeClr w14:val="tx1"/>
            </w14:solidFill>
          </w14:textFill>
        </w:rPr>
        <w:t>建设项目污染物排放量汇总表</w:t>
      </w:r>
    </w:p>
    <w:tbl>
      <w:tblPr>
        <w:tblStyle w:val="53"/>
        <w:tblW w:w="13793" w:type="dxa"/>
        <w:tblInd w:w="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1597"/>
        <w:gridCol w:w="1414"/>
        <w:gridCol w:w="1700"/>
        <w:gridCol w:w="1275"/>
        <w:gridCol w:w="1698"/>
        <w:gridCol w:w="1558"/>
        <w:gridCol w:w="1631"/>
        <w:gridCol w:w="1731"/>
        <w:gridCol w:w="1189"/>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08" w:hRule="atLeast"/>
        </w:trPr>
        <w:tc>
          <w:tcPr>
            <w:tcW w:w="1597" w:type="dxa"/>
            <w:tcBorders>
              <w:top w:val="single" w:color="000000" w:sz="6" w:space="0"/>
              <w:left w:val="single" w:color="000000" w:sz="6" w:space="0"/>
              <w:tl2br w:val="single" w:color="000000" w:sz="2" w:space="0"/>
            </w:tcBorders>
            <w:noWrap w:val="0"/>
            <w:vAlign w:val="top"/>
          </w:tcPr>
          <w:p>
            <w:pPr>
              <w:keepLines w:val="0"/>
              <w:pageBreakBefore w:val="0"/>
              <w:kinsoku/>
              <w:wordWrap w:val="0"/>
              <w:topLinePunct w:val="0"/>
              <w:bidi w:val="0"/>
              <w:spacing w:before="176" w:line="228" w:lineRule="auto"/>
              <w:ind w:right="22"/>
              <w:jc w:val="right"/>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
                <w:sz w:val="20"/>
                <w:szCs w:val="20"/>
                <w14:textFill>
                  <w14:solidFill>
                    <w14:schemeClr w14:val="tx1"/>
                  </w14:solidFill>
                </w14:textFill>
              </w:rPr>
              <w:t>项目</w:t>
            </w:r>
          </w:p>
          <w:p>
            <w:pPr>
              <w:keepLines w:val="0"/>
              <w:pageBreakBefore w:val="0"/>
              <w:kinsoku/>
              <w:wordWrap w:val="0"/>
              <w:topLinePunct w:val="0"/>
              <w:bidi w:val="0"/>
              <w:spacing w:before="24" w:line="227" w:lineRule="auto"/>
              <w:ind w:left="35"/>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分类</w:t>
            </w:r>
          </w:p>
        </w:tc>
        <w:tc>
          <w:tcPr>
            <w:tcW w:w="1414" w:type="dxa"/>
            <w:tcBorders>
              <w:top w:val="single" w:color="000000" w:sz="6" w:space="0"/>
            </w:tcBorders>
            <w:noWrap w:val="0"/>
            <w:vAlign w:val="top"/>
          </w:tcPr>
          <w:p>
            <w:pPr>
              <w:keepLines w:val="0"/>
              <w:pageBreakBefore w:val="0"/>
              <w:kinsoku/>
              <w:wordWrap w:val="0"/>
              <w:topLinePunct w:val="0"/>
              <w:bidi w:val="0"/>
              <w:spacing w:line="242" w:lineRule="auto"/>
              <w:rPr>
                <w:rFonts w:ascii="Times New Roman" w:hAnsi="Times New Roman"/>
                <w:color w:val="000000" w:themeColor="text1"/>
                <w:sz w:val="20"/>
                <w:szCs w:val="20"/>
                <w14:textFill>
                  <w14:solidFill>
                    <w14:schemeClr w14:val="tx1"/>
                  </w14:solidFill>
                </w14:textFill>
              </w:rPr>
            </w:pPr>
          </w:p>
          <w:p>
            <w:pPr>
              <w:keepLines w:val="0"/>
              <w:pageBreakBefore w:val="0"/>
              <w:kinsoku/>
              <w:wordWrap w:val="0"/>
              <w:topLinePunct w:val="0"/>
              <w:bidi w:val="0"/>
              <w:spacing w:before="62" w:line="228" w:lineRule="auto"/>
              <w:ind w:left="238"/>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3"/>
                <w:sz w:val="20"/>
                <w:szCs w:val="20"/>
                <w14:textFill>
                  <w14:solidFill>
                    <w14:schemeClr w14:val="tx1"/>
                  </w14:solidFill>
                </w14:textFill>
              </w:rPr>
              <w:t>污染物名称</w:t>
            </w:r>
          </w:p>
        </w:tc>
        <w:tc>
          <w:tcPr>
            <w:tcW w:w="1700" w:type="dxa"/>
            <w:tcBorders>
              <w:top w:val="single" w:color="000000" w:sz="6" w:space="0"/>
            </w:tcBorders>
            <w:noWrap w:val="0"/>
            <w:vAlign w:val="top"/>
          </w:tcPr>
          <w:p>
            <w:pPr>
              <w:keepLines w:val="0"/>
              <w:pageBreakBefore w:val="0"/>
              <w:kinsoku/>
              <w:wordWrap w:val="0"/>
              <w:topLinePunct w:val="0"/>
              <w:bidi w:val="0"/>
              <w:spacing w:before="46" w:line="228" w:lineRule="auto"/>
              <w:ind w:left="476"/>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现有工程</w:t>
            </w:r>
          </w:p>
          <w:p>
            <w:pPr>
              <w:keepLines w:val="0"/>
              <w:pageBreakBefore w:val="0"/>
              <w:kinsoku/>
              <w:wordWrap w:val="0"/>
              <w:topLinePunct w:val="0"/>
              <w:bidi w:val="0"/>
              <w:spacing w:before="24" w:line="228" w:lineRule="auto"/>
              <w:ind w:left="98"/>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排放量（固体废物</w:t>
            </w:r>
          </w:p>
          <w:p>
            <w:pPr>
              <w:keepLines w:val="0"/>
              <w:pageBreakBefore w:val="0"/>
              <w:kinsoku/>
              <w:wordWrap w:val="0"/>
              <w:topLinePunct w:val="0"/>
              <w:bidi w:val="0"/>
              <w:spacing w:before="25" w:line="226" w:lineRule="auto"/>
              <w:ind w:left="373"/>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8"/>
                <w:sz w:val="20"/>
                <w:szCs w:val="20"/>
                <w14:textFill>
                  <w14:solidFill>
                    <w14:schemeClr w14:val="tx1"/>
                  </w14:solidFill>
                </w14:textFill>
              </w:rPr>
              <w:t>产生量） ①</w:t>
            </w:r>
          </w:p>
        </w:tc>
        <w:tc>
          <w:tcPr>
            <w:tcW w:w="1275" w:type="dxa"/>
            <w:tcBorders>
              <w:top w:val="single" w:color="000000" w:sz="6" w:space="0"/>
            </w:tcBorders>
            <w:noWrap w:val="0"/>
            <w:vAlign w:val="top"/>
          </w:tcPr>
          <w:p>
            <w:pPr>
              <w:keepLines w:val="0"/>
              <w:pageBreakBefore w:val="0"/>
              <w:kinsoku/>
              <w:wordWrap w:val="0"/>
              <w:topLinePunct w:val="0"/>
              <w:bidi w:val="0"/>
              <w:spacing w:before="36" w:line="228" w:lineRule="auto"/>
              <w:ind w:left="262"/>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现有工程</w:t>
            </w:r>
          </w:p>
          <w:p>
            <w:pPr>
              <w:keepLines w:val="0"/>
              <w:pageBreakBefore w:val="0"/>
              <w:kinsoku/>
              <w:wordWrap w:val="0"/>
              <w:topLinePunct w:val="0"/>
              <w:bidi w:val="0"/>
              <w:spacing w:before="24" w:line="228" w:lineRule="auto"/>
              <w:ind w:left="168"/>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许可排放量</w:t>
            </w:r>
          </w:p>
          <w:p>
            <w:pPr>
              <w:keepLines w:val="0"/>
              <w:pageBreakBefore w:val="0"/>
              <w:kinsoku/>
              <w:wordWrap w:val="0"/>
              <w:topLinePunct w:val="0"/>
              <w:bidi w:val="0"/>
              <w:spacing w:before="25" w:line="226" w:lineRule="auto"/>
              <w:ind w:left="545"/>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
                <w:sz w:val="20"/>
                <w:szCs w:val="20"/>
                <w14:textFill>
                  <w14:solidFill>
                    <w14:schemeClr w14:val="tx1"/>
                  </w14:solidFill>
                </w14:textFill>
              </w:rPr>
              <w:t>②</w:t>
            </w:r>
          </w:p>
        </w:tc>
        <w:tc>
          <w:tcPr>
            <w:tcW w:w="1698" w:type="dxa"/>
            <w:tcBorders>
              <w:top w:val="single" w:color="000000" w:sz="6" w:space="0"/>
            </w:tcBorders>
            <w:noWrap w:val="0"/>
            <w:vAlign w:val="top"/>
          </w:tcPr>
          <w:p>
            <w:pPr>
              <w:keepLines w:val="0"/>
              <w:pageBreakBefore w:val="0"/>
              <w:kinsoku/>
              <w:wordWrap w:val="0"/>
              <w:topLinePunct w:val="0"/>
              <w:bidi w:val="0"/>
              <w:spacing w:before="46" w:line="228" w:lineRule="auto"/>
              <w:ind w:left="476"/>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在建工程</w:t>
            </w:r>
          </w:p>
          <w:p>
            <w:pPr>
              <w:keepLines w:val="0"/>
              <w:pageBreakBefore w:val="0"/>
              <w:kinsoku/>
              <w:wordWrap w:val="0"/>
              <w:topLinePunct w:val="0"/>
              <w:bidi w:val="0"/>
              <w:spacing w:before="24" w:line="228" w:lineRule="auto"/>
              <w:ind w:left="100"/>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排放量（固体废物</w:t>
            </w:r>
          </w:p>
          <w:p>
            <w:pPr>
              <w:keepLines w:val="0"/>
              <w:pageBreakBefore w:val="0"/>
              <w:kinsoku/>
              <w:wordWrap w:val="0"/>
              <w:topLinePunct w:val="0"/>
              <w:bidi w:val="0"/>
              <w:spacing w:before="25" w:line="226" w:lineRule="auto"/>
              <w:ind w:left="375"/>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8"/>
                <w:sz w:val="20"/>
                <w:szCs w:val="20"/>
                <w14:textFill>
                  <w14:solidFill>
                    <w14:schemeClr w14:val="tx1"/>
                  </w14:solidFill>
                </w14:textFill>
              </w:rPr>
              <w:t>产生量） ③</w:t>
            </w:r>
          </w:p>
        </w:tc>
        <w:tc>
          <w:tcPr>
            <w:tcW w:w="1558" w:type="dxa"/>
            <w:tcBorders>
              <w:top w:val="single" w:color="000000" w:sz="6" w:space="0"/>
            </w:tcBorders>
            <w:noWrap w:val="0"/>
            <w:vAlign w:val="top"/>
          </w:tcPr>
          <w:p>
            <w:pPr>
              <w:keepLines w:val="0"/>
              <w:pageBreakBefore w:val="0"/>
              <w:kinsoku/>
              <w:wordWrap w:val="0"/>
              <w:topLinePunct w:val="0"/>
              <w:bidi w:val="0"/>
              <w:spacing w:before="46" w:line="228" w:lineRule="auto"/>
              <w:ind w:left="504"/>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
                <w:sz w:val="20"/>
                <w:szCs w:val="20"/>
                <w14:textFill>
                  <w14:solidFill>
                    <w14:schemeClr w14:val="tx1"/>
                  </w14:solidFill>
                </w14:textFill>
              </w:rPr>
              <w:t>本项目</w:t>
            </w:r>
          </w:p>
          <w:p>
            <w:pPr>
              <w:keepLines w:val="0"/>
              <w:pageBreakBefore w:val="0"/>
              <w:kinsoku/>
              <w:wordWrap w:val="0"/>
              <w:topLinePunct w:val="0"/>
              <w:bidi w:val="0"/>
              <w:spacing w:before="24" w:line="239" w:lineRule="auto"/>
              <w:ind w:left="214" w:right="106" w:hanging="86"/>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sz w:val="20"/>
                <w:szCs w:val="20"/>
                <w14:textFill>
                  <w14:solidFill>
                    <w14:schemeClr w14:val="tx1"/>
                  </w14:solidFill>
                </w14:textFill>
              </w:rPr>
              <w:t>排放量（固体废</w:t>
            </w:r>
            <w:r>
              <w:rPr>
                <w:rFonts w:ascii="Times New Roman" w:hAnsi="Times New Roman" w:eastAsia="黑体" w:cs="黑体"/>
                <w:color w:val="000000" w:themeColor="text1"/>
                <w:sz w:val="20"/>
                <w:szCs w:val="20"/>
                <w14:textFill>
                  <w14:solidFill>
                    <w14:schemeClr w14:val="tx1"/>
                  </w14:solidFill>
                </w14:textFill>
              </w:rPr>
              <w:t xml:space="preserve"> </w:t>
            </w:r>
            <w:r>
              <w:rPr>
                <w:rFonts w:ascii="Times New Roman" w:hAnsi="Times New Roman" w:eastAsia="黑体" w:cs="黑体"/>
                <w:color w:val="000000" w:themeColor="text1"/>
                <w:spacing w:val="-2"/>
                <w:sz w:val="20"/>
                <w:szCs w:val="20"/>
                <w14:textFill>
                  <w14:solidFill>
                    <w14:schemeClr w14:val="tx1"/>
                  </w14:solidFill>
                </w14:textFill>
              </w:rPr>
              <w:t>物产生量）④</w:t>
            </w:r>
          </w:p>
        </w:tc>
        <w:tc>
          <w:tcPr>
            <w:tcW w:w="1631" w:type="dxa"/>
            <w:tcBorders>
              <w:top w:val="single" w:color="000000" w:sz="6" w:space="0"/>
            </w:tcBorders>
            <w:noWrap w:val="0"/>
            <w:vAlign w:val="top"/>
          </w:tcPr>
          <w:p>
            <w:pPr>
              <w:keepLines w:val="0"/>
              <w:pageBreakBefore w:val="0"/>
              <w:kinsoku/>
              <w:wordWrap w:val="0"/>
              <w:topLinePunct w:val="0"/>
              <w:bidi w:val="0"/>
              <w:spacing w:before="176" w:line="239" w:lineRule="auto"/>
              <w:ind w:left="69" w:right="41" w:firstLine="177"/>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6"/>
                <w:w w:val="97"/>
                <w:sz w:val="20"/>
                <w:szCs w:val="20"/>
                <w14:textFill>
                  <w14:solidFill>
                    <w14:schemeClr w14:val="tx1"/>
                  </w14:solidFill>
                </w14:textFill>
              </w:rPr>
              <w:t>以新带老削减量</w:t>
            </w:r>
            <w:r>
              <w:rPr>
                <w:rFonts w:ascii="Times New Roman" w:hAnsi="Times New Roman" w:eastAsia="黑体" w:cs="黑体"/>
                <w:color w:val="000000" w:themeColor="text1"/>
                <w:spacing w:val="3"/>
                <w:sz w:val="20"/>
                <w:szCs w:val="20"/>
                <w14:textFill>
                  <w14:solidFill>
                    <w14:schemeClr w14:val="tx1"/>
                  </w14:solidFill>
                </w14:textFill>
              </w:rPr>
              <w:t xml:space="preserve">  </w:t>
            </w:r>
            <w:r>
              <w:rPr>
                <w:rFonts w:ascii="Times New Roman" w:hAnsi="Times New Roman" w:eastAsia="黑体" w:cs="黑体"/>
                <w:color w:val="000000" w:themeColor="text1"/>
                <w:spacing w:val="-25"/>
                <w:w w:val="98"/>
                <w:sz w:val="20"/>
                <w:szCs w:val="20"/>
                <w14:textFill>
                  <w14:solidFill>
                    <w14:schemeClr w14:val="tx1"/>
                  </w14:solidFill>
                </w14:textFill>
              </w:rPr>
              <w:t>（新建项目不填）</w:t>
            </w:r>
            <w:r>
              <w:rPr>
                <w:rFonts w:ascii="Times New Roman" w:hAnsi="Times New Roman" w:eastAsia="黑体" w:cs="黑体"/>
                <w:color w:val="000000" w:themeColor="text1"/>
                <w:spacing w:val="-32"/>
                <w:sz w:val="20"/>
                <w:szCs w:val="20"/>
                <w14:textFill>
                  <w14:solidFill>
                    <w14:schemeClr w14:val="tx1"/>
                  </w14:solidFill>
                </w14:textFill>
              </w:rPr>
              <w:t xml:space="preserve"> </w:t>
            </w:r>
            <w:r>
              <w:rPr>
                <w:rFonts w:ascii="Times New Roman" w:hAnsi="Times New Roman" w:eastAsia="黑体" w:cs="黑体"/>
                <w:color w:val="000000" w:themeColor="text1"/>
                <w:spacing w:val="-25"/>
                <w:w w:val="98"/>
                <w:sz w:val="20"/>
                <w:szCs w:val="20"/>
                <w14:textFill>
                  <w14:solidFill>
                    <w14:schemeClr w14:val="tx1"/>
                  </w14:solidFill>
                </w14:textFill>
              </w:rPr>
              <w:t>⑤</w:t>
            </w:r>
          </w:p>
        </w:tc>
        <w:tc>
          <w:tcPr>
            <w:tcW w:w="1731" w:type="dxa"/>
            <w:tcBorders>
              <w:top w:val="single" w:color="000000" w:sz="6" w:space="0"/>
            </w:tcBorders>
            <w:noWrap w:val="0"/>
            <w:vAlign w:val="top"/>
          </w:tcPr>
          <w:p>
            <w:pPr>
              <w:keepLines w:val="0"/>
              <w:pageBreakBefore w:val="0"/>
              <w:kinsoku/>
              <w:wordWrap w:val="0"/>
              <w:topLinePunct w:val="0"/>
              <w:bidi w:val="0"/>
              <w:spacing w:before="46" w:line="228" w:lineRule="auto"/>
              <w:ind w:left="371"/>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5"/>
                <w:sz w:val="20"/>
                <w:szCs w:val="20"/>
                <w14:textFill>
                  <w14:solidFill>
                    <w14:schemeClr w14:val="tx1"/>
                  </w14:solidFill>
                </w14:textFill>
              </w:rPr>
              <w:t>本项目建成后</w:t>
            </w:r>
          </w:p>
          <w:p>
            <w:pPr>
              <w:keepLines w:val="0"/>
              <w:pageBreakBefore w:val="0"/>
              <w:kinsoku/>
              <w:wordWrap w:val="0"/>
              <w:topLinePunct w:val="0"/>
              <w:bidi w:val="0"/>
              <w:spacing w:before="24" w:line="228" w:lineRule="auto"/>
              <w:ind w:left="119"/>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8"/>
                <w:sz w:val="20"/>
                <w:szCs w:val="20"/>
                <w14:textFill>
                  <w14:solidFill>
                    <w14:schemeClr w14:val="tx1"/>
                  </w14:solidFill>
                </w14:textFill>
              </w:rPr>
              <w:t>全厂排放量（固体废</w:t>
            </w:r>
          </w:p>
          <w:p>
            <w:pPr>
              <w:keepLines w:val="0"/>
              <w:pageBreakBefore w:val="0"/>
              <w:kinsoku/>
              <w:wordWrap w:val="0"/>
              <w:topLinePunct w:val="0"/>
              <w:bidi w:val="0"/>
              <w:spacing w:before="25" w:line="226" w:lineRule="auto"/>
              <w:ind w:left="352"/>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8"/>
                <w:w w:val="96"/>
                <w:sz w:val="20"/>
                <w:szCs w:val="20"/>
                <w14:textFill>
                  <w14:solidFill>
                    <w14:schemeClr w14:val="tx1"/>
                  </w14:solidFill>
                </w14:textFill>
              </w:rPr>
              <w:t>物产生量）</w:t>
            </w:r>
            <w:r>
              <w:rPr>
                <w:rFonts w:ascii="Times New Roman" w:hAnsi="Times New Roman" w:eastAsia="黑体" w:cs="黑体"/>
                <w:color w:val="000000" w:themeColor="text1"/>
                <w:spacing w:val="-53"/>
                <w:sz w:val="20"/>
                <w:szCs w:val="20"/>
                <w14:textFill>
                  <w14:solidFill>
                    <w14:schemeClr w14:val="tx1"/>
                  </w14:solidFill>
                </w14:textFill>
              </w:rPr>
              <w:t xml:space="preserve"> </w:t>
            </w:r>
            <w:r>
              <w:rPr>
                <w:rFonts w:ascii="Times New Roman" w:hAnsi="Times New Roman" w:eastAsia="黑体" w:cs="黑体"/>
                <w:color w:val="000000" w:themeColor="text1"/>
                <w:spacing w:val="-18"/>
                <w:w w:val="96"/>
                <w:sz w:val="20"/>
                <w:szCs w:val="20"/>
                <w14:textFill>
                  <w14:solidFill>
                    <w14:schemeClr w14:val="tx1"/>
                  </w14:solidFill>
                </w14:textFill>
              </w:rPr>
              <w:t>⑥</w:t>
            </w:r>
          </w:p>
        </w:tc>
        <w:tc>
          <w:tcPr>
            <w:tcW w:w="1189" w:type="dxa"/>
            <w:tcBorders>
              <w:top w:val="single" w:color="000000" w:sz="6" w:space="0"/>
              <w:right w:val="single" w:color="000000" w:sz="6" w:space="0"/>
            </w:tcBorders>
            <w:noWrap w:val="0"/>
            <w:vAlign w:val="top"/>
          </w:tcPr>
          <w:p>
            <w:pPr>
              <w:keepLines w:val="0"/>
              <w:pageBreakBefore w:val="0"/>
              <w:kinsoku/>
              <w:wordWrap w:val="0"/>
              <w:topLinePunct w:val="0"/>
              <w:bidi w:val="0"/>
              <w:spacing w:before="176" w:line="259" w:lineRule="exact"/>
              <w:ind w:left="323"/>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2"/>
                <w:position w:val="4"/>
                <w:sz w:val="20"/>
                <w:szCs w:val="20"/>
                <w14:textFill>
                  <w14:solidFill>
                    <w14:schemeClr w14:val="tx1"/>
                  </w14:solidFill>
                </w14:textFill>
              </w:rPr>
              <w:t>变化量</w:t>
            </w:r>
          </w:p>
          <w:p>
            <w:pPr>
              <w:keepLines w:val="0"/>
              <w:pageBreakBefore w:val="0"/>
              <w:kinsoku/>
              <w:wordWrap w:val="0"/>
              <w:topLinePunct w:val="0"/>
              <w:bidi w:val="0"/>
              <w:spacing w:line="226" w:lineRule="auto"/>
              <w:ind w:left="501"/>
              <w:rPr>
                <w:rFonts w:ascii="Times New Roman" w:hAnsi="Times New Roman" w:eastAsia="黑体" w:cs="黑体"/>
                <w:color w:val="000000" w:themeColor="text1"/>
                <w:sz w:val="20"/>
                <w:szCs w:val="20"/>
                <w14:textFill>
                  <w14:solidFill>
                    <w14:schemeClr w14:val="tx1"/>
                  </w14:solidFill>
                </w14:textFill>
              </w:rPr>
            </w:pPr>
            <w:r>
              <w:rPr>
                <w:rFonts w:ascii="Times New Roman" w:hAnsi="Times New Roman" w:eastAsia="黑体" w:cs="黑体"/>
                <w:color w:val="000000" w:themeColor="text1"/>
                <w:spacing w:val="1"/>
                <w:sz w:val="20"/>
                <w:szCs w:val="20"/>
                <w14:textFill>
                  <w14:solidFill>
                    <w14:schemeClr w14:val="tx1"/>
                  </w14:solidFill>
                </w14:textFill>
              </w:rPr>
              <w:t>⑦</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 w:hRule="atLeast"/>
        </w:trPr>
        <w:tc>
          <w:tcPr>
            <w:tcW w:w="1597" w:type="dxa"/>
            <w:vMerge w:val="restart"/>
            <w:tcBorders>
              <w:left w:val="single" w:color="000000" w:sz="6" w:space="0"/>
              <w:bottom w:val="nil"/>
            </w:tcBorders>
            <w:noWrap w:val="0"/>
            <w:vAlign w:val="top"/>
          </w:tcPr>
          <w:p>
            <w:pPr>
              <w:pStyle w:val="56"/>
              <w:keepLines w:val="0"/>
              <w:pageBreakBefore w:val="0"/>
              <w:kinsoku/>
              <w:wordWrap w:val="0"/>
              <w:topLinePunct w:val="0"/>
              <w:bidi w:val="0"/>
              <w:spacing w:before="276" w:line="229" w:lineRule="auto"/>
              <w:ind w:left="594"/>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5"/>
                <w:sz w:val="20"/>
                <w:szCs w:val="20"/>
                <w14:textFill>
                  <w14:solidFill>
                    <w14:schemeClr w14:val="tx1"/>
                  </w14:solidFill>
                </w14:textFill>
              </w:rPr>
              <w:t>废气</w:t>
            </w:r>
          </w:p>
        </w:tc>
        <w:tc>
          <w:tcPr>
            <w:tcW w:w="1414" w:type="dxa"/>
            <w:noWrap w:val="0"/>
            <w:vAlign w:val="top"/>
          </w:tcPr>
          <w:p>
            <w:pPr>
              <w:pStyle w:val="56"/>
              <w:keepLines w:val="0"/>
              <w:pageBreakBefore w:val="0"/>
              <w:kinsoku/>
              <w:wordWrap w:val="0"/>
              <w:topLinePunct w:val="0"/>
              <w:bidi w:val="0"/>
              <w:spacing w:before="88" w:line="229" w:lineRule="auto"/>
              <w:ind w:left="208"/>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7"/>
                <w:sz w:val="20"/>
                <w:szCs w:val="20"/>
                <w14:textFill>
                  <w14:solidFill>
                    <w14:schemeClr w14:val="tx1"/>
                  </w14:solidFill>
                </w14:textFill>
              </w:rPr>
              <w:t>非甲烷总烃</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default"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r>
              <w:rPr>
                <w:rFonts w:hint="eastAsia" w:cs="Times New Roman"/>
                <w:color w:val="000000" w:themeColor="text1"/>
                <w:sz w:val="20"/>
                <w:szCs w:val="20"/>
                <w:lang w:val="en-US" w:eastAsia="zh-CN"/>
                <w14:textFill>
                  <w14:solidFill>
                    <w14:schemeClr w14:val="tx1"/>
                  </w14:solidFill>
                </w14:textFill>
              </w:rPr>
              <w:t>207</w:t>
            </w:r>
            <w:r>
              <w:rPr>
                <w:rFonts w:hint="eastAsia" w:ascii="Times New Roman" w:hAnsi="Times New Roman" w:eastAsia="宋体" w:cs="Times New Roman"/>
                <w:color w:val="000000" w:themeColor="text1"/>
                <w:sz w:val="20"/>
                <w:szCs w:val="20"/>
                <w:lang w:val="en-US" w:eastAsia="zh-CN"/>
                <w14:textFill>
                  <w14:solidFill>
                    <w14:schemeClr w14:val="tx1"/>
                  </w14:solidFill>
                </w14:textFill>
              </w:rPr>
              <w:t>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r>
              <w:rPr>
                <w:rFonts w:hint="eastAsia" w:cs="Times New Roman"/>
                <w:color w:val="000000" w:themeColor="text1"/>
                <w:sz w:val="20"/>
                <w:szCs w:val="20"/>
                <w:lang w:val="en-US" w:eastAsia="zh-CN"/>
                <w14:textFill>
                  <w14:solidFill>
                    <w14:schemeClr w14:val="tx1"/>
                  </w14:solidFill>
                </w14:textFill>
              </w:rPr>
              <w:t>207</w:t>
            </w:r>
            <w:r>
              <w:rPr>
                <w:rFonts w:hint="eastAsia" w:ascii="Times New Roman" w:hAnsi="Times New Roman" w:eastAsia="宋体" w:cs="Times New Roman"/>
                <w:color w:val="000000" w:themeColor="text1"/>
                <w:sz w:val="20"/>
                <w:szCs w:val="20"/>
                <w:lang w:val="en-US" w:eastAsia="zh-CN"/>
                <w14:textFill>
                  <w14:solidFill>
                    <w14:schemeClr w14:val="tx1"/>
                  </w14:solidFill>
                </w14:textFill>
              </w:rPr>
              <w:t>t</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r>
              <w:rPr>
                <w:rFonts w:hint="eastAsia" w:cs="Times New Roman"/>
                <w:color w:val="000000" w:themeColor="text1"/>
                <w:sz w:val="20"/>
                <w:szCs w:val="20"/>
                <w:lang w:val="en-US" w:eastAsia="zh-CN"/>
                <w14:textFill>
                  <w14:solidFill>
                    <w14:schemeClr w14:val="tx1"/>
                  </w14:solidFill>
                </w14:textFill>
              </w:rPr>
              <w:t>207</w:t>
            </w:r>
            <w:r>
              <w:rPr>
                <w:rFonts w:hint="eastAsia" w:ascii="Times New Roman" w:hAnsi="Times New Roman" w:eastAsia="宋体" w:cs="Times New Roman"/>
                <w:color w:val="000000" w:themeColor="text1"/>
                <w:sz w:val="20"/>
                <w:szCs w:val="20"/>
                <w:lang w:val="en-US" w:eastAsia="zh-CN"/>
                <w14:textFill>
                  <w14:solidFill>
                    <w14:schemeClr w14:val="tx1"/>
                  </w14:solidFill>
                </w14:textFill>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97" w:type="dxa"/>
            <w:vMerge w:val="continue"/>
            <w:tcBorders>
              <w:top w:val="nil"/>
              <w:left w:val="single" w:color="000000" w:sz="6" w:space="0"/>
            </w:tcBorders>
            <w:noWrap w:val="0"/>
            <w:vAlign w:val="top"/>
          </w:tcPr>
          <w:p>
            <w:pPr>
              <w:keepLines w:val="0"/>
              <w:pageBreakBefore w:val="0"/>
              <w:kinsoku/>
              <w:wordWrap w:val="0"/>
              <w:topLinePunct w:val="0"/>
              <w:bidi w:val="0"/>
              <w:rPr>
                <w:rFonts w:ascii="Times New Roman" w:hAnsi="Times New Roman"/>
                <w:color w:val="000000" w:themeColor="text1"/>
                <w:sz w:val="20"/>
                <w:szCs w:val="20"/>
                <w14:textFill>
                  <w14:solidFill>
                    <w14:schemeClr w14:val="tx1"/>
                  </w14:solidFill>
                </w14:textFill>
              </w:rPr>
            </w:pPr>
          </w:p>
        </w:tc>
        <w:tc>
          <w:tcPr>
            <w:tcW w:w="1414" w:type="dxa"/>
            <w:noWrap w:val="0"/>
            <w:vAlign w:val="top"/>
          </w:tcPr>
          <w:p>
            <w:pPr>
              <w:pStyle w:val="56"/>
              <w:keepLines w:val="0"/>
              <w:pageBreakBefore w:val="0"/>
              <w:kinsoku/>
              <w:wordWrap w:val="0"/>
              <w:topLinePunct w:val="0"/>
              <w:bidi w:val="0"/>
              <w:spacing w:before="89" w:line="230" w:lineRule="auto"/>
              <w:ind w:left="406"/>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6"/>
                <w:sz w:val="20"/>
                <w:szCs w:val="20"/>
                <w14:textFill>
                  <w14:solidFill>
                    <w14:schemeClr w14:val="tx1"/>
                  </w14:solidFill>
                </w14:textFill>
              </w:rPr>
              <w:t>硫酸雾</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0.0145t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0.0145t</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ascii="Times New Roman" w:hAnsi="Times New Roman" w:eastAsia="Times New Roman" w:cs="Times New Roman"/>
                <w:color w:val="000000" w:themeColor="text1"/>
                <w:spacing w:val="4"/>
                <w:sz w:val="20"/>
                <w:szCs w:val="20"/>
                <w14:textFill>
                  <w14:solidFill>
                    <w14:schemeClr w14:val="tx1"/>
                  </w14:solidFill>
                </w14:textFill>
              </w:rPr>
              <w:t>+0</w:t>
            </w:r>
            <w:r>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t>.0145t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97" w:type="dxa"/>
            <w:vMerge w:val="restart"/>
            <w:tcBorders>
              <w:left w:val="single" w:color="000000" w:sz="6" w:space="0"/>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5"/>
                <w:sz w:val="20"/>
                <w:szCs w:val="20"/>
                <w14:textFill>
                  <w14:solidFill>
                    <w14:schemeClr w14:val="tx1"/>
                  </w14:solidFill>
                </w14:textFill>
              </w:rPr>
              <w:t>废水</w:t>
            </w:r>
          </w:p>
        </w:tc>
        <w:tc>
          <w:tcPr>
            <w:tcW w:w="1414"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BOD</w:t>
            </w:r>
            <w:r>
              <w:rPr>
                <w:rFonts w:hint="eastAsia" w:ascii="Times New Roman" w:hAnsi="Times New Roman" w:eastAsia="宋体" w:cs="Times New Roman"/>
                <w:color w:val="000000" w:themeColor="text1"/>
                <w:spacing w:val="3"/>
                <w:sz w:val="20"/>
                <w:szCs w:val="20"/>
                <w:vertAlign w:val="subscript"/>
                <w:lang w:val="en-US" w:eastAsia="zh-CN"/>
                <w14:textFill>
                  <w14:solidFill>
                    <w14:schemeClr w14:val="tx1"/>
                  </w14:solidFill>
                </w14:textFill>
              </w:rPr>
              <w:t>5</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4"/>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97" w:type="dxa"/>
            <w:vMerge w:val="continue"/>
            <w:tcBorders>
              <w:left w:val="single" w:color="000000" w:sz="6" w:space="0"/>
            </w:tcBorders>
            <w:noWrap w:val="0"/>
            <w:vAlign w:val="top"/>
          </w:tcPr>
          <w:p>
            <w:pPr>
              <w:pStyle w:val="56"/>
              <w:keepLines w:val="0"/>
              <w:pageBreakBefore w:val="0"/>
              <w:kinsoku/>
              <w:wordWrap w:val="0"/>
              <w:topLinePunct w:val="0"/>
              <w:bidi w:val="0"/>
              <w:spacing w:before="280" w:line="228" w:lineRule="auto"/>
              <w:ind w:left="594"/>
              <w:rPr>
                <w:rFonts w:ascii="Times New Roman" w:hAnsi="Times New Roman"/>
                <w:color w:val="000000" w:themeColor="text1"/>
                <w:sz w:val="20"/>
                <w:szCs w:val="20"/>
                <w14:textFill>
                  <w14:solidFill>
                    <w14:schemeClr w14:val="tx1"/>
                  </w14:solidFill>
                </w14:textFill>
              </w:rPr>
            </w:pPr>
          </w:p>
        </w:tc>
        <w:tc>
          <w:tcPr>
            <w:tcW w:w="1414"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ascii="Times New Roman" w:hAnsi="Times New Roman" w:eastAsia="Times New Roman" w:cs="Times New Roman"/>
                <w:color w:val="000000" w:themeColor="text1"/>
                <w:sz w:val="20"/>
                <w:szCs w:val="20"/>
                <w14:textFill>
                  <w14:solidFill>
                    <w14:schemeClr w14:val="tx1"/>
                  </w14:solidFill>
                </w14:textFill>
              </w:rPr>
            </w:pPr>
            <w:r>
              <w:rPr>
                <w:rFonts w:ascii="Times New Roman" w:hAnsi="Times New Roman" w:eastAsia="Times New Roman" w:cs="Times New Roman"/>
                <w:color w:val="000000" w:themeColor="text1"/>
                <w:spacing w:val="3"/>
                <w:sz w:val="20"/>
                <w:szCs w:val="20"/>
                <w14:textFill>
                  <w14:solidFill>
                    <w14:schemeClr w14:val="tx1"/>
                  </w14:solidFill>
                </w14:textFill>
              </w:rPr>
              <w:t>COD</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eastAsia="zh-CN"/>
                <w14:textFill>
                  <w14:solidFill>
                    <w14:schemeClr w14:val="tx1"/>
                  </w14:solidFill>
                </w14:textFill>
              </w:rPr>
            </w:pPr>
            <w:r>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97" w:type="dxa"/>
            <w:vMerge w:val="continue"/>
            <w:tcBorders>
              <w:left w:val="single" w:color="000000" w:sz="6" w:space="0"/>
            </w:tcBorders>
            <w:noWrap w:val="0"/>
            <w:vAlign w:val="top"/>
          </w:tcPr>
          <w:p>
            <w:pPr>
              <w:keepLines w:val="0"/>
              <w:pageBreakBefore w:val="0"/>
              <w:kinsoku/>
              <w:wordWrap w:val="0"/>
              <w:topLinePunct w:val="0"/>
              <w:bidi w:val="0"/>
              <w:rPr>
                <w:rFonts w:ascii="Times New Roman" w:hAnsi="Times New Roman"/>
                <w:color w:val="000000" w:themeColor="text1"/>
                <w:sz w:val="20"/>
                <w:szCs w:val="20"/>
                <w14:textFill>
                  <w14:solidFill>
                    <w14:schemeClr w14:val="tx1"/>
                  </w14:solidFill>
                </w14:textFill>
              </w:rPr>
            </w:pPr>
          </w:p>
        </w:tc>
        <w:tc>
          <w:tcPr>
            <w:tcW w:w="1414" w:type="dxa"/>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5"/>
                <w:sz w:val="20"/>
                <w:szCs w:val="20"/>
                <w14:textFill>
                  <w14:solidFill>
                    <w14:schemeClr w14:val="tx1"/>
                  </w14:solidFill>
                </w14:textFill>
              </w:rPr>
              <w:t>氨氮</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eastAsia="zh-CN"/>
                <w14:textFill>
                  <w14:solidFill>
                    <w14:schemeClr w14:val="tx1"/>
                  </w14:solidFill>
                </w14:textFill>
              </w:rPr>
            </w:pPr>
            <w:r>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97" w:type="dxa"/>
            <w:vMerge w:val="continue"/>
            <w:tcBorders>
              <w:left w:val="single" w:color="000000" w:sz="6" w:space="0"/>
            </w:tcBorders>
            <w:noWrap w:val="0"/>
            <w:vAlign w:val="top"/>
          </w:tcPr>
          <w:p>
            <w:pPr>
              <w:keepLines w:val="0"/>
              <w:pageBreakBefore w:val="0"/>
              <w:kinsoku/>
              <w:wordWrap w:val="0"/>
              <w:topLinePunct w:val="0"/>
              <w:bidi w:val="0"/>
              <w:rPr>
                <w:rFonts w:ascii="Times New Roman" w:hAnsi="Times New Roman"/>
                <w:color w:val="000000" w:themeColor="text1"/>
                <w:sz w:val="20"/>
                <w:szCs w:val="20"/>
                <w14:textFill>
                  <w14:solidFill>
                    <w14:schemeClr w14:val="tx1"/>
                  </w14:solidFill>
                </w14:textFill>
              </w:rPr>
            </w:pPr>
          </w:p>
        </w:tc>
        <w:tc>
          <w:tcPr>
            <w:tcW w:w="1414" w:type="dxa"/>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olor w:val="000000" w:themeColor="text1"/>
                <w:spacing w:val="5"/>
                <w:sz w:val="20"/>
                <w:szCs w:val="20"/>
                <w:lang w:val="en-US" w:eastAsia="zh-CN"/>
                <w14:textFill>
                  <w14:solidFill>
                    <w14:schemeClr w14:val="tx1"/>
                  </w14:solidFill>
                </w14:textFill>
              </w:rPr>
            </w:pPr>
            <w:r>
              <w:rPr>
                <w:rFonts w:hint="default" w:ascii="Times New Roman" w:hAnsi="Times New Roman" w:cs="Times New Roman"/>
                <w:color w:val="000000" w:themeColor="text1"/>
                <w:spacing w:val="5"/>
                <w:sz w:val="20"/>
                <w:szCs w:val="20"/>
                <w:lang w:val="en-US" w:eastAsia="zh-CN"/>
                <w14:textFill>
                  <w14:solidFill>
                    <w14:schemeClr w14:val="tx1"/>
                  </w14:solidFill>
                </w14:textFill>
              </w:rPr>
              <w:t>SS</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1" w:hRule="atLeast"/>
        </w:trPr>
        <w:tc>
          <w:tcPr>
            <w:tcW w:w="1597" w:type="dxa"/>
            <w:vMerge w:val="restart"/>
            <w:tcBorders>
              <w:left w:val="single" w:color="000000" w:sz="6" w:space="0"/>
            </w:tcBorders>
            <w:noWrap w:val="0"/>
            <w:vAlign w:val="top"/>
          </w:tcPr>
          <w:p>
            <w:pPr>
              <w:pStyle w:val="56"/>
              <w:keepLines w:val="0"/>
              <w:pageBreakBefore w:val="0"/>
              <w:kinsoku/>
              <w:wordWrap w:val="0"/>
              <w:topLinePunct w:val="0"/>
              <w:bidi w:val="0"/>
              <w:spacing w:before="37" w:line="260" w:lineRule="exact"/>
              <w:ind w:left="399"/>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6"/>
                <w:position w:val="4"/>
                <w:sz w:val="20"/>
                <w:szCs w:val="20"/>
                <w14:textFill>
                  <w14:solidFill>
                    <w14:schemeClr w14:val="tx1"/>
                  </w14:solidFill>
                </w14:textFill>
              </w:rPr>
              <w:t>一般工业</w:t>
            </w:r>
          </w:p>
          <w:p>
            <w:pPr>
              <w:pStyle w:val="56"/>
              <w:keepLines w:val="0"/>
              <w:pageBreakBefore w:val="0"/>
              <w:kinsoku/>
              <w:wordWrap w:val="0"/>
              <w:topLinePunct w:val="0"/>
              <w:bidi w:val="0"/>
              <w:spacing w:line="210" w:lineRule="auto"/>
              <w:ind w:left="413"/>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2"/>
                <w:sz w:val="20"/>
                <w:szCs w:val="20"/>
                <w14:textFill>
                  <w14:solidFill>
                    <w14:schemeClr w14:val="tx1"/>
                  </w14:solidFill>
                </w14:textFill>
              </w:rPr>
              <w:t>固体废物</w:t>
            </w:r>
          </w:p>
        </w:tc>
        <w:tc>
          <w:tcPr>
            <w:tcW w:w="1414" w:type="dxa"/>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000000" w:themeColor="text1"/>
                <w:spacing w:val="8"/>
                <w:sz w:val="20"/>
                <w:szCs w:val="20"/>
                <w:lang w:val="en-US" w:eastAsia="zh-CN"/>
                <w14:textFill>
                  <w14:solidFill>
                    <w14:schemeClr w14:val="tx1"/>
                  </w14:solidFill>
                </w14:textFill>
              </w:rPr>
            </w:pPr>
            <w:r>
              <w:rPr>
                <w:rFonts w:hint="eastAsia" w:ascii="Times New Roman" w:hAnsi="Times New Roman"/>
                <w:color w:val="000000" w:themeColor="text1"/>
                <w:spacing w:val="8"/>
                <w:sz w:val="20"/>
                <w:szCs w:val="20"/>
                <w:lang w:val="en-US" w:eastAsia="zh-CN"/>
                <w14:textFill>
                  <w14:solidFill>
                    <w14:schemeClr w14:val="tx1"/>
                  </w14:solidFill>
                </w14:textFill>
              </w:rPr>
              <w:t>生活垃圾</w:t>
            </w:r>
          </w:p>
        </w:tc>
        <w:tc>
          <w:tcPr>
            <w:tcW w:w="1700" w:type="dxa"/>
            <w:noWrap w:val="0"/>
            <w:vAlign w:val="center"/>
          </w:tcPr>
          <w:p>
            <w:pPr>
              <w:keepLines w:val="0"/>
              <w:pageBreakBefore w:val="0"/>
              <w:kinsoku/>
              <w:wordWrap w:val="0"/>
              <w:topLinePunct w:val="0"/>
              <w:bidi w:val="0"/>
              <w:jc w:val="center"/>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5.4t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0</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4"/>
                <w:sz w:val="20"/>
                <w:szCs w:val="20"/>
                <w:lang w:val="en-US" w:eastAsia="zh-CN"/>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21" w:hRule="atLeast"/>
        </w:trPr>
        <w:tc>
          <w:tcPr>
            <w:tcW w:w="1597" w:type="dxa"/>
            <w:vMerge w:val="restart"/>
            <w:tcBorders>
              <w:left w:val="single" w:color="000000" w:sz="6" w:space="0"/>
            </w:tcBorders>
            <w:noWrap w:val="0"/>
            <w:vAlign w:val="top"/>
          </w:tcPr>
          <w:p>
            <w:pPr>
              <w:pStyle w:val="56"/>
              <w:keepLines w:val="0"/>
              <w:pageBreakBefore w:val="0"/>
              <w:kinsoku/>
              <w:wordWrap w:val="0"/>
              <w:topLinePunct w:val="0"/>
              <w:bidi w:val="0"/>
              <w:spacing w:before="62" w:line="229" w:lineRule="auto"/>
              <w:ind w:left="398"/>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6"/>
                <w:sz w:val="20"/>
                <w:szCs w:val="20"/>
                <w14:textFill>
                  <w14:solidFill>
                    <w14:schemeClr w14:val="tx1"/>
                  </w14:solidFill>
                </w14:textFill>
              </w:rPr>
              <w:t>危险废物</w:t>
            </w:r>
          </w:p>
        </w:tc>
        <w:tc>
          <w:tcPr>
            <w:tcW w:w="1414" w:type="dxa"/>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2"/>
                <w:sz w:val="20"/>
                <w:szCs w:val="20"/>
                <w14:textFill>
                  <w14:solidFill>
                    <w14:schemeClr w14:val="tx1"/>
                  </w14:solidFill>
                </w14:textFill>
              </w:rPr>
              <w:t>废含油抹布、</w:t>
            </w:r>
            <w:r>
              <w:rPr>
                <w:rFonts w:ascii="Times New Roman" w:hAnsi="Times New Roman"/>
                <w:color w:val="000000" w:themeColor="text1"/>
                <w:spacing w:val="6"/>
                <w:sz w:val="20"/>
                <w:szCs w:val="20"/>
                <w14:textFill>
                  <w14:solidFill>
                    <w14:schemeClr w14:val="tx1"/>
                  </w14:solidFill>
                </w14:textFill>
              </w:rPr>
              <w:t>劳保用品</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0"/>
                <w:szCs w:val="20"/>
                <w:lang w:val="en-US" w:eastAsia="zh-CN"/>
                <w14:textFill>
                  <w14:solidFill>
                    <w14:schemeClr w14:val="tx1"/>
                  </w14:solidFill>
                </w14:textFill>
              </w:rPr>
              <w:t>1t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97" w:type="dxa"/>
            <w:vMerge w:val="continue"/>
            <w:tcBorders>
              <w:left w:val="single" w:color="000000" w:sz="6" w:space="0"/>
            </w:tcBorders>
            <w:noWrap w:val="0"/>
            <w:vAlign w:val="top"/>
          </w:tcPr>
          <w:p>
            <w:pPr>
              <w:keepLines w:val="0"/>
              <w:pageBreakBefore w:val="0"/>
              <w:kinsoku/>
              <w:wordWrap w:val="0"/>
              <w:topLinePunct w:val="0"/>
              <w:bidi w:val="0"/>
              <w:rPr>
                <w:rFonts w:ascii="Times New Roman" w:hAnsi="Times New Roman"/>
                <w:color w:val="000000" w:themeColor="text1"/>
                <w:sz w:val="20"/>
                <w:szCs w:val="20"/>
                <w14:textFill>
                  <w14:solidFill>
                    <w14:schemeClr w14:val="tx1"/>
                  </w14:solidFill>
                </w14:textFill>
              </w:rPr>
            </w:pPr>
          </w:p>
        </w:tc>
        <w:tc>
          <w:tcPr>
            <w:tcW w:w="1414" w:type="dxa"/>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7"/>
                <w:sz w:val="20"/>
                <w:szCs w:val="20"/>
                <w14:textFill>
                  <w14:solidFill>
                    <w14:schemeClr w14:val="tx1"/>
                  </w14:solidFill>
                </w14:textFill>
              </w:rPr>
              <w:t>废电解液</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2"/>
                <w:sz w:val="20"/>
                <w:szCs w:val="20"/>
                <w:lang w:val="en-US" w:eastAsia="zh-CN"/>
                <w14:textFill>
                  <w14:solidFill>
                    <w14:schemeClr w14:val="tx1"/>
                  </w14:solidFill>
                </w14:textFill>
              </w:rPr>
              <w:t>3.36t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3" w:hRule="atLeast"/>
        </w:trPr>
        <w:tc>
          <w:tcPr>
            <w:tcW w:w="1597" w:type="dxa"/>
            <w:vMerge w:val="continue"/>
            <w:tcBorders>
              <w:left w:val="single" w:color="000000" w:sz="6" w:space="0"/>
            </w:tcBorders>
            <w:noWrap w:val="0"/>
            <w:vAlign w:val="top"/>
          </w:tcPr>
          <w:p>
            <w:pPr>
              <w:keepLines w:val="0"/>
              <w:pageBreakBefore w:val="0"/>
              <w:kinsoku/>
              <w:wordWrap w:val="0"/>
              <w:topLinePunct w:val="0"/>
              <w:bidi w:val="0"/>
              <w:rPr>
                <w:rFonts w:ascii="Times New Roman" w:hAnsi="Times New Roman"/>
                <w:color w:val="000000" w:themeColor="text1"/>
                <w:sz w:val="20"/>
                <w:szCs w:val="20"/>
                <w14:textFill>
                  <w14:solidFill>
                    <w14:schemeClr w14:val="tx1"/>
                  </w14:solidFill>
                </w14:textFill>
              </w:rPr>
            </w:pPr>
          </w:p>
        </w:tc>
        <w:tc>
          <w:tcPr>
            <w:tcW w:w="1414" w:type="dxa"/>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ascii="Times New Roman" w:hAnsi="Times New Roman"/>
                <w:color w:val="000000" w:themeColor="text1"/>
                <w:sz w:val="20"/>
                <w:szCs w:val="20"/>
                <w14:textFill>
                  <w14:solidFill>
                    <w14:schemeClr w14:val="tx1"/>
                  </w14:solidFill>
                </w14:textFill>
              </w:rPr>
            </w:pPr>
            <w:r>
              <w:rPr>
                <w:rFonts w:hint="eastAsia" w:ascii="Times New Roman" w:hAnsi="Times New Roman"/>
                <w:color w:val="000000" w:themeColor="text1"/>
                <w:spacing w:val="7"/>
                <w:sz w:val="20"/>
                <w:szCs w:val="20"/>
                <w:lang w:val="en-US" w:eastAsia="zh-CN"/>
                <w14:textFill>
                  <w14:solidFill>
                    <w14:schemeClr w14:val="tx1"/>
                  </w14:solidFill>
                </w14:textFill>
              </w:rPr>
              <w:t>碱喷淋</w:t>
            </w:r>
            <w:r>
              <w:rPr>
                <w:rFonts w:ascii="Times New Roman" w:hAnsi="Times New Roman"/>
                <w:color w:val="000000" w:themeColor="text1"/>
                <w:spacing w:val="7"/>
                <w:sz w:val="20"/>
                <w:szCs w:val="20"/>
                <w14:textFill>
                  <w14:solidFill>
                    <w14:schemeClr w14:val="tx1"/>
                  </w14:solidFill>
                </w14:textFill>
              </w:rPr>
              <w:t>废液</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val="en-US" w:eastAsia="zh-CN"/>
                <w14:textFill>
                  <w14:solidFill>
                    <w14:schemeClr w14:val="tx1"/>
                  </w14:solidFill>
                </w14:textFill>
              </w:rPr>
            </w:pPr>
            <w:r>
              <w:rPr>
                <w:rFonts w:ascii="Times New Roman" w:hAnsi="Times New Roman" w:eastAsia="Times New Roman" w:cs="Times New Roman"/>
                <w:color w:val="000000" w:themeColor="text1"/>
                <w:spacing w:val="1"/>
                <w:sz w:val="20"/>
                <w:szCs w:val="20"/>
                <w14:textFill>
                  <w14:solidFill>
                    <w14:schemeClr w14:val="tx1"/>
                  </w14:solidFill>
                </w14:textFill>
              </w:rPr>
              <w:t>0.9</w:t>
            </w:r>
            <w:r>
              <w:rPr>
                <w:rFonts w:hint="eastAsia" w:ascii="Times New Roman" w:hAnsi="Times New Roman" w:eastAsia="宋体" w:cs="Times New Roman"/>
                <w:color w:val="000000" w:themeColor="text1"/>
                <w:spacing w:val="1"/>
                <w:sz w:val="20"/>
                <w:szCs w:val="20"/>
                <w:lang w:val="en-US" w:eastAsia="zh-CN"/>
                <w14:textFill>
                  <w14:solidFill>
                    <w14:schemeClr w14:val="tx1"/>
                  </w14:solidFill>
                </w14:textFill>
              </w:rPr>
              <w:t>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597" w:type="dxa"/>
            <w:vMerge w:val="continue"/>
            <w:tcBorders>
              <w:left w:val="single" w:color="000000" w:sz="6" w:space="0"/>
            </w:tcBorders>
            <w:noWrap w:val="0"/>
            <w:vAlign w:val="top"/>
          </w:tcPr>
          <w:p>
            <w:pPr>
              <w:keepLines w:val="0"/>
              <w:pageBreakBefore w:val="0"/>
              <w:kinsoku/>
              <w:wordWrap w:val="0"/>
              <w:topLinePunct w:val="0"/>
              <w:bidi w:val="0"/>
              <w:rPr>
                <w:rFonts w:ascii="Times New Roman" w:hAnsi="Times New Roman"/>
                <w:color w:val="000000" w:themeColor="text1"/>
                <w:sz w:val="20"/>
                <w:szCs w:val="20"/>
                <w14:textFill>
                  <w14:solidFill>
                    <w14:schemeClr w14:val="tx1"/>
                  </w14:solidFill>
                </w14:textFill>
              </w:rPr>
            </w:pPr>
          </w:p>
        </w:tc>
        <w:tc>
          <w:tcPr>
            <w:tcW w:w="1414" w:type="dxa"/>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ascii="Times New Roman" w:hAnsi="Times New Roman"/>
                <w:color w:val="000000" w:themeColor="text1"/>
                <w:sz w:val="20"/>
                <w:szCs w:val="20"/>
                <w14:textFill>
                  <w14:solidFill>
                    <w14:schemeClr w14:val="tx1"/>
                  </w14:solidFill>
                </w14:textFill>
              </w:rPr>
            </w:pPr>
            <w:r>
              <w:rPr>
                <w:rFonts w:ascii="Times New Roman" w:hAnsi="Times New Roman"/>
                <w:color w:val="000000" w:themeColor="text1"/>
                <w:spacing w:val="7"/>
                <w:sz w:val="20"/>
                <w:szCs w:val="20"/>
                <w14:textFill>
                  <w14:solidFill>
                    <w14:schemeClr w14:val="tx1"/>
                  </w14:solidFill>
                </w14:textFill>
              </w:rPr>
              <w:t>废活性炭</w:t>
            </w:r>
          </w:p>
        </w:tc>
        <w:tc>
          <w:tcPr>
            <w:tcW w:w="1700"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noWrap w:val="0"/>
            <w:vAlign w:val="center"/>
          </w:tcPr>
          <w:p>
            <w:pPr>
              <w:keepLines w:val="0"/>
              <w:pageBreakBefore w:val="0"/>
              <w:kinsoku/>
              <w:wordWrap w:val="0"/>
              <w:topLinePunct w:val="0"/>
              <w:bidi w:val="0"/>
              <w:jc w:val="center"/>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0.2t</w:t>
            </w:r>
          </w:p>
        </w:tc>
        <w:tc>
          <w:tcPr>
            <w:tcW w:w="16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eastAsia" w:ascii="Times New Roman" w:hAnsi="Times New Roman" w:eastAsia="宋体"/>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c>
          <w:tcPr>
            <w:tcW w:w="1189" w:type="dxa"/>
            <w:tcBorders>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7" w:hRule="atLeast"/>
        </w:trPr>
        <w:tc>
          <w:tcPr>
            <w:tcW w:w="1597" w:type="dxa"/>
            <w:vMerge w:val="continue"/>
            <w:tcBorders>
              <w:left w:val="single" w:color="000000" w:sz="6" w:space="0"/>
              <w:bottom w:val="single" w:color="000000" w:sz="6" w:space="0"/>
            </w:tcBorders>
            <w:noWrap w:val="0"/>
            <w:vAlign w:val="top"/>
          </w:tcPr>
          <w:p>
            <w:pPr>
              <w:keepLines w:val="0"/>
              <w:pageBreakBefore w:val="0"/>
              <w:kinsoku/>
              <w:wordWrap w:val="0"/>
              <w:topLinePunct w:val="0"/>
              <w:bidi w:val="0"/>
              <w:rPr>
                <w:rFonts w:ascii="Times New Roman" w:hAnsi="Times New Roman"/>
                <w:color w:val="000000" w:themeColor="text1"/>
                <w:sz w:val="20"/>
                <w:szCs w:val="20"/>
                <w14:textFill>
                  <w14:solidFill>
                    <w14:schemeClr w14:val="tx1"/>
                  </w14:solidFill>
                </w14:textFill>
              </w:rPr>
            </w:pPr>
          </w:p>
        </w:tc>
        <w:tc>
          <w:tcPr>
            <w:tcW w:w="1414" w:type="dxa"/>
            <w:tcBorders>
              <w:bottom w:val="single" w:color="000000" w:sz="6" w:space="0"/>
            </w:tcBorders>
            <w:noWrap w:val="0"/>
            <w:vAlign w:val="center"/>
          </w:tcPr>
          <w:p>
            <w:pPr>
              <w:pStyle w:val="56"/>
              <w:keepNext w:val="0"/>
              <w:keepLines w:val="0"/>
              <w:pageBreakBefore w:val="0"/>
              <w:widowControl w:val="0"/>
              <w:kinsoku/>
              <w:wordWrap w:val="0"/>
              <w:overflowPunct/>
              <w:topLinePunct w:val="0"/>
              <w:autoSpaceDE/>
              <w:autoSpaceDN/>
              <w:bidi w:val="0"/>
              <w:adjustRightInd/>
              <w:snapToGrid/>
              <w:spacing w:line="240" w:lineRule="auto"/>
              <w:ind w:left="0" w:right="0" w:firstLine="0"/>
              <w:jc w:val="center"/>
              <w:textAlignment w:val="auto"/>
              <w:rPr>
                <w:rFonts w:hint="eastAsia" w:ascii="Times New Roman" w:hAnsi="Times New Roman" w:eastAsia="宋体"/>
                <w:color w:val="000000" w:themeColor="text1"/>
                <w:spacing w:val="7"/>
                <w:sz w:val="20"/>
                <w:szCs w:val="20"/>
                <w:lang w:val="en-US" w:eastAsia="zh-CN"/>
                <w14:textFill>
                  <w14:solidFill>
                    <w14:schemeClr w14:val="tx1"/>
                  </w14:solidFill>
                </w14:textFill>
              </w:rPr>
            </w:pPr>
            <w:r>
              <w:rPr>
                <w:rFonts w:hint="eastAsia" w:ascii="Times New Roman" w:hAnsi="Times New Roman"/>
                <w:color w:val="000000" w:themeColor="text1"/>
                <w:spacing w:val="7"/>
                <w:sz w:val="20"/>
                <w:szCs w:val="20"/>
                <w:lang w:val="en-US" w:eastAsia="zh-CN"/>
                <w14:textFill>
                  <w14:solidFill>
                    <w14:schemeClr w14:val="tx1"/>
                  </w14:solidFill>
                </w14:textFill>
              </w:rPr>
              <w:t>废催化剂</w:t>
            </w:r>
          </w:p>
        </w:tc>
        <w:tc>
          <w:tcPr>
            <w:tcW w:w="1700" w:type="dxa"/>
            <w:tcBorders>
              <w:bottom w:val="single" w:color="000000" w:sz="6" w:space="0"/>
            </w:tcBorders>
            <w:noWrap w:val="0"/>
            <w:vAlign w:val="center"/>
          </w:tcPr>
          <w:p>
            <w:pPr>
              <w:keepLines w:val="0"/>
              <w:pageBreakBefore w:val="0"/>
              <w:kinsoku/>
              <w:wordWrap w:val="0"/>
              <w:topLinePunct w:val="0"/>
              <w:bidi w:val="0"/>
              <w:jc w:val="center"/>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275" w:type="dxa"/>
            <w:tcBorders>
              <w:bottom w:val="single" w:color="000000" w:sz="6" w:space="0"/>
            </w:tcBorders>
            <w:noWrap w:val="0"/>
            <w:vAlign w:val="center"/>
          </w:tcPr>
          <w:p>
            <w:pPr>
              <w:keepLines w:val="0"/>
              <w:pageBreakBefore w:val="0"/>
              <w:kinsoku/>
              <w:wordWrap w:val="0"/>
              <w:topLinePunct w:val="0"/>
              <w:bidi w:val="0"/>
              <w:jc w:val="center"/>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698" w:type="dxa"/>
            <w:tcBorders>
              <w:bottom w:val="single" w:color="000000" w:sz="6" w:space="0"/>
            </w:tcBorders>
            <w:noWrap w:val="0"/>
            <w:vAlign w:val="center"/>
          </w:tcPr>
          <w:p>
            <w:pPr>
              <w:keepLines w:val="0"/>
              <w:pageBreakBefore w:val="0"/>
              <w:kinsoku/>
              <w:wordWrap w:val="0"/>
              <w:topLinePunct w:val="0"/>
              <w:bidi w:val="0"/>
              <w:jc w:val="center"/>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558" w:type="dxa"/>
            <w:tcBorders>
              <w:bottom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pacing w:val="3"/>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0.</w:t>
            </w:r>
            <w:r>
              <w:rPr>
                <w:rFonts w:hint="eastAsia" w:cs="Times New Roman"/>
                <w:color w:val="000000" w:themeColor="text1"/>
                <w:spacing w:val="3"/>
                <w:sz w:val="20"/>
                <w:szCs w:val="20"/>
                <w:lang w:val="en-US" w:eastAsia="zh-CN"/>
                <w14:textFill>
                  <w14:solidFill>
                    <w14:schemeClr w14:val="tx1"/>
                  </w14:solidFill>
                </w14:textFill>
              </w:rPr>
              <w:t>03</w:t>
            </w:r>
            <w:r>
              <w:rPr>
                <w:rFonts w:hint="eastAsia" w:ascii="Times New Roman" w:hAnsi="Times New Roman" w:eastAsia="宋体" w:cs="Times New Roman"/>
                <w:color w:val="000000" w:themeColor="text1"/>
                <w:spacing w:val="3"/>
                <w:sz w:val="20"/>
                <w:szCs w:val="20"/>
                <w:lang w:val="en-US" w:eastAsia="zh-CN"/>
                <w14:textFill>
                  <w14:solidFill>
                    <w14:schemeClr w14:val="tx1"/>
                  </w14:solidFill>
                </w14:textFill>
              </w:rPr>
              <w:t>t</w:t>
            </w:r>
          </w:p>
        </w:tc>
        <w:tc>
          <w:tcPr>
            <w:tcW w:w="1631" w:type="dxa"/>
            <w:tcBorders>
              <w:bottom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color w:val="000000" w:themeColor="text1"/>
                <w:sz w:val="20"/>
                <w:szCs w:val="20"/>
                <w:lang w:val="en-US" w:eastAsia="zh-CN"/>
                <w14:textFill>
                  <w14:solidFill>
                    <w14:schemeClr w14:val="tx1"/>
                  </w14:solidFill>
                </w14:textFill>
              </w:rPr>
            </w:pPr>
            <w:r>
              <w:rPr>
                <w:rFonts w:hint="eastAsia" w:ascii="Times New Roman" w:hAnsi="Times New Roman"/>
                <w:color w:val="000000" w:themeColor="text1"/>
                <w:sz w:val="20"/>
                <w:szCs w:val="20"/>
                <w:lang w:val="en-US" w:eastAsia="zh-CN"/>
                <w14:textFill>
                  <w14:solidFill>
                    <w14:schemeClr w14:val="tx1"/>
                  </w14:solidFill>
                </w14:textFill>
              </w:rPr>
              <w:t>/</w:t>
            </w:r>
          </w:p>
        </w:tc>
        <w:tc>
          <w:tcPr>
            <w:tcW w:w="1731" w:type="dxa"/>
            <w:tcBorders>
              <w:bottom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c>
          <w:tcPr>
            <w:tcW w:w="1189" w:type="dxa"/>
            <w:tcBorders>
              <w:bottom w:val="single" w:color="000000" w:sz="6" w:space="0"/>
              <w:right w:val="single" w:color="000000" w:sz="6" w:space="0"/>
            </w:tcBorders>
            <w:noWrap w:val="0"/>
            <w:vAlign w:val="center"/>
          </w:tcPr>
          <w:p>
            <w:pPr>
              <w:keepNext w:val="0"/>
              <w:keepLines w:val="0"/>
              <w:pageBreakBefore w:val="0"/>
              <w:widowControl w:val="0"/>
              <w:kinsoku/>
              <w:wordWrap w:val="0"/>
              <w:overflowPunct/>
              <w:topLinePunct w:val="0"/>
              <w:autoSpaceDE/>
              <w:autoSpaceDN/>
              <w:bidi w:val="0"/>
              <w:adjustRightInd/>
              <w:snapToGrid/>
              <w:spacing w:line="240" w:lineRule="auto"/>
              <w:ind w:left="0"/>
              <w:jc w:val="center"/>
              <w:textAlignment w:val="auto"/>
              <w:rPr>
                <w:rFonts w:hint="default" w:ascii="Times New Roman" w:hAnsi="Times New Roman" w:eastAsia="宋体" w:cs="Times New Roman"/>
                <w:color w:val="000000" w:themeColor="text1"/>
                <w:sz w:val="20"/>
                <w:szCs w:val="20"/>
                <w:lang w:val="en-US" w:eastAsia="zh-CN"/>
                <w14:textFill>
                  <w14:solidFill>
                    <w14:schemeClr w14:val="tx1"/>
                  </w14:solidFill>
                </w14:textFill>
              </w:rPr>
            </w:pPr>
            <w:r>
              <w:rPr>
                <w:rFonts w:hint="eastAsia" w:ascii="Times New Roman" w:hAnsi="Times New Roman" w:eastAsia="宋体" w:cs="Times New Roman"/>
                <w:color w:val="000000" w:themeColor="text1"/>
                <w:sz w:val="20"/>
                <w:szCs w:val="20"/>
                <w:lang w:val="en-US" w:eastAsia="zh-CN"/>
                <w14:textFill>
                  <w14:solidFill>
                    <w14:schemeClr w14:val="tx1"/>
                  </w14:solidFill>
                </w14:textFill>
              </w:rPr>
              <w:t>0</w:t>
            </w:r>
          </w:p>
        </w:tc>
      </w:tr>
    </w:tbl>
    <w:p>
      <w:pPr>
        <w:keepLines w:val="0"/>
        <w:pageBreakBefore w:val="0"/>
        <w:kinsoku/>
        <w:wordWrap w:val="0"/>
        <w:topLinePunct w:val="0"/>
        <w:bidi w:val="0"/>
        <w:spacing w:before="181" w:line="241" w:lineRule="auto"/>
        <w:ind w:left="7"/>
        <w:rPr>
          <w:rFonts w:ascii="Times New Roman" w:hAnsi="Times New Roman" w:eastAsia="宋体" w:cs="宋体"/>
          <w:color w:val="000000" w:themeColor="text1"/>
          <w:sz w:val="19"/>
          <w:szCs w:val="19"/>
          <w14:textFill>
            <w14:solidFill>
              <w14:schemeClr w14:val="tx1"/>
            </w14:solidFill>
          </w14:textFill>
        </w:rPr>
      </w:pPr>
      <w:r>
        <w:rPr>
          <w:rFonts w:ascii="Times New Roman" w:hAnsi="Times New Roman" w:eastAsia="宋体" w:cs="宋体"/>
          <w:color w:val="000000" w:themeColor="text1"/>
          <w:spacing w:val="-4"/>
          <w:sz w:val="19"/>
          <w:szCs w:val="19"/>
          <w14:textFill>
            <w14:solidFill>
              <w14:schemeClr w14:val="tx1"/>
            </w14:solidFill>
          </w14:textFill>
        </w:rPr>
        <w:t>注： ⑥</w:t>
      </w:r>
      <w:r>
        <w:rPr>
          <w:rFonts w:ascii="Times New Roman" w:hAnsi="Times New Roman" w:eastAsia="Times New Roman" w:cs="Times New Roman"/>
          <w:color w:val="000000" w:themeColor="text1"/>
          <w:spacing w:val="-4"/>
          <w:sz w:val="19"/>
          <w:szCs w:val="19"/>
          <w14:textFill>
            <w14:solidFill>
              <w14:schemeClr w14:val="tx1"/>
            </w14:solidFill>
          </w14:textFill>
        </w:rPr>
        <w:t>=</w:t>
      </w:r>
      <w:r>
        <w:rPr>
          <w:rFonts w:ascii="Times New Roman" w:hAnsi="Times New Roman" w:eastAsia="宋体" w:cs="宋体"/>
          <w:color w:val="000000" w:themeColor="text1"/>
          <w:spacing w:val="-4"/>
          <w:sz w:val="19"/>
          <w:szCs w:val="19"/>
          <w14:textFill>
            <w14:solidFill>
              <w14:schemeClr w14:val="tx1"/>
            </w14:solidFill>
          </w14:textFill>
        </w:rPr>
        <w:t>①</w:t>
      </w:r>
      <w:r>
        <w:rPr>
          <w:rFonts w:ascii="Times New Roman" w:hAnsi="Times New Roman" w:eastAsia="Times New Roman" w:cs="Times New Roman"/>
          <w:color w:val="000000" w:themeColor="text1"/>
          <w:spacing w:val="-4"/>
          <w:sz w:val="19"/>
          <w:szCs w:val="19"/>
          <w14:textFill>
            <w14:solidFill>
              <w14:schemeClr w14:val="tx1"/>
            </w14:solidFill>
          </w14:textFill>
        </w:rPr>
        <w:t>+</w:t>
      </w:r>
      <w:r>
        <w:rPr>
          <w:rFonts w:ascii="Times New Roman" w:hAnsi="Times New Roman" w:eastAsia="宋体" w:cs="宋体"/>
          <w:color w:val="000000" w:themeColor="text1"/>
          <w:spacing w:val="-4"/>
          <w:sz w:val="19"/>
          <w:szCs w:val="19"/>
          <w14:textFill>
            <w14:solidFill>
              <w14:schemeClr w14:val="tx1"/>
            </w14:solidFill>
          </w14:textFill>
        </w:rPr>
        <w:t>③</w:t>
      </w:r>
      <w:r>
        <w:rPr>
          <w:rFonts w:ascii="Times New Roman" w:hAnsi="Times New Roman" w:eastAsia="Times New Roman" w:cs="Times New Roman"/>
          <w:color w:val="000000" w:themeColor="text1"/>
          <w:spacing w:val="-4"/>
          <w:sz w:val="19"/>
          <w:szCs w:val="19"/>
          <w14:textFill>
            <w14:solidFill>
              <w14:schemeClr w14:val="tx1"/>
            </w14:solidFill>
          </w14:textFill>
        </w:rPr>
        <w:t>+</w:t>
      </w:r>
      <w:r>
        <w:rPr>
          <w:rFonts w:ascii="Times New Roman" w:hAnsi="Times New Roman" w:eastAsia="宋体" w:cs="宋体"/>
          <w:color w:val="000000" w:themeColor="text1"/>
          <w:spacing w:val="-4"/>
          <w:sz w:val="19"/>
          <w:szCs w:val="19"/>
          <w14:textFill>
            <w14:solidFill>
              <w14:schemeClr w14:val="tx1"/>
            </w14:solidFill>
          </w14:textFill>
        </w:rPr>
        <w:t>④</w:t>
      </w:r>
      <w:r>
        <w:rPr>
          <w:rFonts w:ascii="Times New Roman" w:hAnsi="Times New Roman" w:eastAsia="Times New Roman" w:cs="Times New Roman"/>
          <w:color w:val="000000" w:themeColor="text1"/>
          <w:spacing w:val="-4"/>
          <w:sz w:val="19"/>
          <w:szCs w:val="19"/>
          <w14:textFill>
            <w14:solidFill>
              <w14:schemeClr w14:val="tx1"/>
            </w14:solidFill>
          </w14:textFill>
        </w:rPr>
        <w:t>-</w:t>
      </w:r>
      <w:r>
        <w:rPr>
          <w:rFonts w:ascii="Times New Roman" w:hAnsi="Times New Roman" w:eastAsia="宋体" w:cs="宋体"/>
          <w:color w:val="000000" w:themeColor="text1"/>
          <w:spacing w:val="-4"/>
          <w:sz w:val="19"/>
          <w:szCs w:val="19"/>
          <w14:textFill>
            <w14:solidFill>
              <w14:schemeClr w14:val="tx1"/>
            </w14:solidFill>
          </w14:textFill>
        </w:rPr>
        <w:t>⑤;</w:t>
      </w:r>
      <w:r>
        <w:rPr>
          <w:rFonts w:ascii="Times New Roman" w:hAnsi="Times New Roman" w:eastAsia="宋体" w:cs="宋体"/>
          <w:color w:val="000000" w:themeColor="text1"/>
          <w:spacing w:val="24"/>
          <w:sz w:val="19"/>
          <w:szCs w:val="19"/>
          <w14:textFill>
            <w14:solidFill>
              <w14:schemeClr w14:val="tx1"/>
            </w14:solidFill>
          </w14:textFill>
        </w:rPr>
        <w:t xml:space="preserve"> </w:t>
      </w:r>
      <w:r>
        <w:rPr>
          <w:rFonts w:ascii="Times New Roman" w:hAnsi="Times New Roman" w:eastAsia="宋体" w:cs="宋体"/>
          <w:color w:val="000000" w:themeColor="text1"/>
          <w:spacing w:val="-4"/>
          <w:sz w:val="19"/>
          <w:szCs w:val="19"/>
          <w14:textFill>
            <w14:solidFill>
              <w14:schemeClr w14:val="tx1"/>
            </w14:solidFill>
          </w14:textFill>
        </w:rPr>
        <w:t>⑦</w:t>
      </w:r>
      <w:r>
        <w:rPr>
          <w:rFonts w:ascii="Times New Roman" w:hAnsi="Times New Roman" w:eastAsia="Times New Roman" w:cs="Times New Roman"/>
          <w:color w:val="000000" w:themeColor="text1"/>
          <w:spacing w:val="-4"/>
          <w:sz w:val="19"/>
          <w:szCs w:val="19"/>
          <w14:textFill>
            <w14:solidFill>
              <w14:schemeClr w14:val="tx1"/>
            </w14:solidFill>
          </w14:textFill>
        </w:rPr>
        <w:t>=</w:t>
      </w:r>
      <w:r>
        <w:rPr>
          <w:rFonts w:ascii="Times New Roman" w:hAnsi="Times New Roman" w:eastAsia="宋体" w:cs="宋体"/>
          <w:color w:val="000000" w:themeColor="text1"/>
          <w:spacing w:val="-4"/>
          <w:sz w:val="19"/>
          <w:szCs w:val="19"/>
          <w14:textFill>
            <w14:solidFill>
              <w14:schemeClr w14:val="tx1"/>
            </w14:solidFill>
          </w14:textFill>
        </w:rPr>
        <w:t>⑥</w:t>
      </w:r>
      <w:r>
        <w:rPr>
          <w:rFonts w:ascii="Times New Roman" w:hAnsi="Times New Roman" w:eastAsia="Times New Roman" w:cs="Times New Roman"/>
          <w:color w:val="000000" w:themeColor="text1"/>
          <w:spacing w:val="-4"/>
          <w:sz w:val="19"/>
          <w:szCs w:val="19"/>
          <w14:textFill>
            <w14:solidFill>
              <w14:schemeClr w14:val="tx1"/>
            </w14:solidFill>
          </w14:textFill>
        </w:rPr>
        <w:t>-</w:t>
      </w:r>
      <w:r>
        <w:rPr>
          <w:rFonts w:ascii="Times New Roman" w:hAnsi="Times New Roman" w:eastAsia="宋体" w:cs="宋体"/>
          <w:color w:val="000000" w:themeColor="text1"/>
          <w:spacing w:val="-4"/>
          <w:sz w:val="19"/>
          <w:szCs w:val="19"/>
          <w14:textFill>
            <w14:solidFill>
              <w14:schemeClr w14:val="tx1"/>
            </w14:solidFill>
          </w14:textFill>
        </w:rPr>
        <w:t>①</w:t>
      </w:r>
    </w:p>
    <w:p>
      <w:pPr>
        <w:pStyle w:val="15"/>
        <w:keepNext w:val="0"/>
        <w:keepLines w:val="0"/>
        <w:pageBreakBefore w:val="0"/>
        <w:widowControl/>
        <w:kinsoku/>
        <w:wordWrap w:val="0"/>
        <w:overflowPunct/>
        <w:topLinePunct w:val="0"/>
        <w:autoSpaceDE/>
        <w:autoSpaceDN/>
        <w:bidi w:val="0"/>
        <w:adjustRightInd w:val="0"/>
        <w:snapToGrid w:val="0"/>
        <w:spacing w:before="0" w:beforeAutospacing="0" w:after="0" w:afterAutospacing="0" w:line="240" w:lineRule="auto"/>
        <w:jc w:val="both"/>
        <w:textAlignment w:val="auto"/>
        <w:outlineLvl w:val="0"/>
        <w:rPr>
          <w:rFonts w:hint="eastAsia" w:ascii="Times New Roman" w:hAnsi="Times New Roman" w:eastAsia="方正小标宋_GBK"/>
          <w:snapToGrid w:val="0"/>
          <w:color w:val="000000" w:themeColor="text1"/>
          <w:sz w:val="38"/>
          <w:szCs w:val="38"/>
          <w:lang w:val="en-US" w:eastAsia="zh-CN"/>
          <w14:textFill>
            <w14:solidFill>
              <w14:schemeClr w14:val="tx1"/>
            </w14:solidFill>
          </w14:textFill>
        </w:rPr>
      </w:pPr>
    </w:p>
    <w:sectPr>
      <w:footerReference r:id="rId6"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720" w:num="1"/>
      <w:rtlGutter w:val="0"/>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roman"/>
    <w:pitch w:val="default"/>
    <w:sig w:usb0="E0002EFF" w:usb1="C000785B" w:usb2="00000009" w:usb3="00000000" w:csb0="400001FF" w:csb1="FFFF0000"/>
  </w:font>
  <w:font w:name="宋体">
    <w:panose1 w:val="02010600030101010101"/>
    <w:charset w:val="8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auto"/>
    <w:pitch w:val="default"/>
    <w:sig w:usb0="00000000" w:usb1="00000000" w:usb2="00000000" w:usb3="00000000" w:csb0="00040000" w:csb1="00000000"/>
  </w:font>
  <w:font w:name="Arial Black">
    <w:panose1 w:val="020B0A04020102020204"/>
    <w:charset w:val="00"/>
    <w:family w:val="swiss"/>
    <w:pitch w:val="default"/>
    <w:sig w:usb0="A00002AF" w:usb1="400078FB" w:usb2="00000000" w:usb3="00000000" w:csb0="6000009F" w:csb1="DFD70000"/>
  </w:font>
  <w:font w:name="仿宋">
    <w:panose1 w:val="02010609060101010101"/>
    <w:charset w:val="86"/>
    <w:family w:val="modern"/>
    <w:pitch w:val="default"/>
    <w:sig w:usb0="800002BF" w:usb1="38CF7CFA" w:usb2="00000016" w:usb3="00000000" w:csb0="00040001" w:csb1="00000000"/>
  </w:font>
  <w:font w:name="方正小标宋_GBK">
    <w:altName w:val="微软雅黑"/>
    <w:panose1 w:val="03000509000000000000"/>
    <w:charset w:val="86"/>
    <w:family w:val="script"/>
    <w:pitch w:val="default"/>
    <w:sig w:usb0="00000000" w:usb1="00000000" w:usb2="00000000" w:usb3="00000000" w:csb0="00040000" w:csb1="00000000"/>
  </w:font>
  <w:font w:name="楷体_GB2312">
    <w:altName w:val="楷体"/>
    <w:panose1 w:val="02010609030101010101"/>
    <w:charset w:val="86"/>
    <w:family w:val="modern"/>
    <w:pitch w:val="default"/>
    <w:sig w:usb0="00000000" w:usb1="00000000" w:usb2="00000010" w:usb3="00000000" w:csb0="00040000" w:csb1="00000000"/>
  </w:font>
  <w:font w:name="华文仿宋">
    <w:altName w:val="仿宋"/>
    <w:panose1 w:val="02010600040101010101"/>
    <w:charset w:val="86"/>
    <w:family w:val="auto"/>
    <w:pitch w:val="default"/>
    <w:sig w:usb0="00000000" w:usb1="00000000" w:usb2="00000000" w:usb3="00000000" w:csb0="0004009F" w:csb1="DFD70000"/>
  </w:font>
  <w:font w:name="Wingdings 2">
    <w:altName w:val="Wingdings"/>
    <w:panose1 w:val="05020102010507070707"/>
    <w:charset w:val="02"/>
    <w:family w:val="roman"/>
    <w:pitch w:val="default"/>
    <w:sig w:usb0="00000000" w:usb1="00000000" w:usb2="00000000" w:usb3="00000000" w:csb0="80000000" w:csb1="00000000"/>
  </w:font>
  <w:font w:name="微软雅黑">
    <w:panose1 w:val="020B0503020204020204"/>
    <w:charset w:val="86"/>
    <w:family w:val="auto"/>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Kingsoft Symbol">
    <w:altName w:val="Symbol"/>
    <w:panose1 w:val="00000000000000000000"/>
    <w:charset w:val="00"/>
    <w:family w:val="auto"/>
    <w:pitch w:val="default"/>
    <w:sig w:usb0="00000000" w:usb1="00000000" w:usb2="00000000" w:usb3="00000000" w:csb0="00000000" w:csb1="00000000"/>
  </w:font>
  <w:font w:name="Symbol">
    <w:panose1 w:val="05050102010706020507"/>
    <w:charset w:val="00"/>
    <w:family w:val="auto"/>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ind w:right="360" w:firstLine="360"/>
      <w:jc w:val="cen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center" w:y="1"/>
      <w:rPr>
        <w:rStyle w:val="21"/>
      </w:rPr>
    </w:pPr>
    <w:r>
      <w:fldChar w:fldCharType="begin"/>
    </w:r>
    <w:r>
      <w:rPr>
        <w:rStyle w:val="21"/>
      </w:rPr>
      <w:instrText xml:space="preserve">PAGE  </w:instrText>
    </w:r>
    <w:r>
      <w:fldChar w:fldCharType="end"/>
    </w:r>
  </w:p>
  <w:p>
    <w:pPr>
      <w:pStyle w:val="13"/>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57</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pPr>
      <w:pStyle w:val="13"/>
      <w:ind w:right="360" w:firstLine="360"/>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3"/>
      <w:framePr w:wrap="around" w:vAnchor="text" w:hAnchor="margin" w:xAlign="outside" w:y="1"/>
      <w:rPr>
        <w:rStyle w:val="21"/>
        <w:rFonts w:ascii="宋体" w:hAnsi="宋体"/>
        <w:sz w:val="28"/>
        <w:szCs w:val="28"/>
      </w:rPr>
    </w:pPr>
    <w:r>
      <w:rPr>
        <w:rStyle w:val="21"/>
        <w:rFonts w:hint="eastAsia" w:ascii="宋体" w:hAnsi="宋体"/>
        <w:sz w:val="28"/>
        <w:szCs w:val="28"/>
      </w:rPr>
      <w:t>—</w:t>
    </w:r>
    <w:r>
      <w:rPr>
        <w:rStyle w:val="21"/>
        <w:rFonts w:hint="eastAsia" w:ascii="宋体" w:hAnsi="宋体"/>
        <w:sz w:val="20"/>
      </w:rPr>
      <w:t xml:space="preserve">  </w:t>
    </w:r>
    <w:r>
      <w:rPr>
        <w:rStyle w:val="21"/>
        <w:rFonts w:ascii="宋体" w:hAnsi="宋体"/>
        <w:sz w:val="26"/>
        <w:szCs w:val="26"/>
      </w:rPr>
      <w:fldChar w:fldCharType="begin"/>
    </w:r>
    <w:r>
      <w:rPr>
        <w:rStyle w:val="21"/>
        <w:rFonts w:ascii="宋体" w:hAnsi="宋体"/>
        <w:sz w:val="26"/>
        <w:szCs w:val="26"/>
      </w:rPr>
      <w:instrText xml:space="preserve">PAGE  </w:instrText>
    </w:r>
    <w:r>
      <w:rPr>
        <w:rStyle w:val="21"/>
        <w:rFonts w:ascii="宋体" w:hAnsi="宋体"/>
        <w:sz w:val="26"/>
        <w:szCs w:val="26"/>
      </w:rPr>
      <w:fldChar w:fldCharType="separate"/>
    </w:r>
    <w:r>
      <w:rPr>
        <w:rStyle w:val="21"/>
        <w:rFonts w:ascii="宋体" w:hAnsi="宋体"/>
        <w:sz w:val="26"/>
        <w:szCs w:val="26"/>
      </w:rPr>
      <w:t>78</w:t>
    </w:r>
    <w:r>
      <w:rPr>
        <w:rStyle w:val="21"/>
        <w:rFonts w:ascii="宋体" w:hAnsi="宋体"/>
        <w:sz w:val="26"/>
        <w:szCs w:val="26"/>
      </w:rPr>
      <w:fldChar w:fldCharType="end"/>
    </w:r>
    <w:r>
      <w:rPr>
        <w:rStyle w:val="21"/>
        <w:rFonts w:hint="eastAsia" w:ascii="宋体" w:hAnsi="宋体"/>
        <w:sz w:val="20"/>
      </w:rPr>
      <w:t xml:space="preserve">  </w:t>
    </w:r>
    <w:r>
      <w:rPr>
        <w:rStyle w:val="21"/>
        <w:rFonts w:hint="eastAsia" w:ascii="宋体" w:hAnsi="宋体"/>
        <w:sz w:val="28"/>
        <w:szCs w:val="28"/>
      </w:rPr>
      <w:t>—</w:t>
    </w:r>
  </w:p>
  <w:p>
    <w:pPr>
      <w:pStyle w:val="13"/>
      <w:ind w:right="360" w:firstLine="360"/>
      <w:jc w:val="cente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111E05C"/>
    <w:multiLevelType w:val="singleLevel"/>
    <w:tmpl w:val="8111E05C"/>
    <w:lvl w:ilvl="0" w:tentative="0">
      <w:start w:val="2"/>
      <w:numFmt w:val="decimal"/>
      <w:suff w:val="nothing"/>
      <w:lvlText w:val="（%1）"/>
      <w:lvlJc w:val="left"/>
    </w:lvl>
  </w:abstractNum>
  <w:abstractNum w:abstractNumId="1">
    <w:nsid w:val="962812E5"/>
    <w:multiLevelType w:val="singleLevel"/>
    <w:tmpl w:val="962812E5"/>
    <w:lvl w:ilvl="0" w:tentative="0">
      <w:start w:val="1"/>
      <w:numFmt w:val="decimal"/>
      <w:suff w:val="nothing"/>
      <w:lvlText w:val="（%1）"/>
      <w:lvlJc w:val="left"/>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50"/>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DEyY2E2OGE5NDYzMTUwNWU3MTJjYjM2ZGRjOWNmODAifQ=="/>
  </w:docVars>
  <w:rsids>
    <w:rsidRoot w:val="00A14947"/>
    <w:rsid w:val="00002101"/>
    <w:rsid w:val="00002D46"/>
    <w:rsid w:val="00005FA0"/>
    <w:rsid w:val="000060B3"/>
    <w:rsid w:val="00010145"/>
    <w:rsid w:val="00016E02"/>
    <w:rsid w:val="00024980"/>
    <w:rsid w:val="00031150"/>
    <w:rsid w:val="0004364B"/>
    <w:rsid w:val="00053275"/>
    <w:rsid w:val="00060447"/>
    <w:rsid w:val="00061B1F"/>
    <w:rsid w:val="00071AA5"/>
    <w:rsid w:val="000733C4"/>
    <w:rsid w:val="00074783"/>
    <w:rsid w:val="0008070B"/>
    <w:rsid w:val="000810AC"/>
    <w:rsid w:val="00081A02"/>
    <w:rsid w:val="00082231"/>
    <w:rsid w:val="00092D38"/>
    <w:rsid w:val="0009315F"/>
    <w:rsid w:val="0009377B"/>
    <w:rsid w:val="000A20C9"/>
    <w:rsid w:val="000A295D"/>
    <w:rsid w:val="000A321A"/>
    <w:rsid w:val="000B058F"/>
    <w:rsid w:val="000B2A76"/>
    <w:rsid w:val="000B2E8A"/>
    <w:rsid w:val="000B4467"/>
    <w:rsid w:val="000B4DB9"/>
    <w:rsid w:val="000B6202"/>
    <w:rsid w:val="000C09AC"/>
    <w:rsid w:val="000C767F"/>
    <w:rsid w:val="000D47F2"/>
    <w:rsid w:val="000D5A44"/>
    <w:rsid w:val="000E3ED2"/>
    <w:rsid w:val="000E5D59"/>
    <w:rsid w:val="000F0A43"/>
    <w:rsid w:val="001160B3"/>
    <w:rsid w:val="00120C6A"/>
    <w:rsid w:val="00121985"/>
    <w:rsid w:val="00131F42"/>
    <w:rsid w:val="00132619"/>
    <w:rsid w:val="001357F1"/>
    <w:rsid w:val="0013584F"/>
    <w:rsid w:val="00140FA8"/>
    <w:rsid w:val="00142FEB"/>
    <w:rsid w:val="001435FA"/>
    <w:rsid w:val="00143A2D"/>
    <w:rsid w:val="00145A41"/>
    <w:rsid w:val="00151675"/>
    <w:rsid w:val="00155A9E"/>
    <w:rsid w:val="00157435"/>
    <w:rsid w:val="0016024D"/>
    <w:rsid w:val="001622C9"/>
    <w:rsid w:val="00172E5D"/>
    <w:rsid w:val="0017504D"/>
    <w:rsid w:val="0017671A"/>
    <w:rsid w:val="00177422"/>
    <w:rsid w:val="00184590"/>
    <w:rsid w:val="001870D1"/>
    <w:rsid w:val="0018781E"/>
    <w:rsid w:val="0019262D"/>
    <w:rsid w:val="001A1B35"/>
    <w:rsid w:val="001A1DEC"/>
    <w:rsid w:val="001A48A2"/>
    <w:rsid w:val="001A6F61"/>
    <w:rsid w:val="001A7F0A"/>
    <w:rsid w:val="001B1816"/>
    <w:rsid w:val="001B417E"/>
    <w:rsid w:val="001B5106"/>
    <w:rsid w:val="001B72B8"/>
    <w:rsid w:val="001C69B3"/>
    <w:rsid w:val="001D5595"/>
    <w:rsid w:val="001D7874"/>
    <w:rsid w:val="001D7F22"/>
    <w:rsid w:val="001E0434"/>
    <w:rsid w:val="001F0CA3"/>
    <w:rsid w:val="001F0D6D"/>
    <w:rsid w:val="001F0F17"/>
    <w:rsid w:val="001F3347"/>
    <w:rsid w:val="001F69E4"/>
    <w:rsid w:val="002035D8"/>
    <w:rsid w:val="002125B4"/>
    <w:rsid w:val="00212CBE"/>
    <w:rsid w:val="00214449"/>
    <w:rsid w:val="00214DB2"/>
    <w:rsid w:val="002155B8"/>
    <w:rsid w:val="00216635"/>
    <w:rsid w:val="002172A3"/>
    <w:rsid w:val="00217EEF"/>
    <w:rsid w:val="00224839"/>
    <w:rsid w:val="002249B2"/>
    <w:rsid w:val="00224D27"/>
    <w:rsid w:val="00226574"/>
    <w:rsid w:val="002278EC"/>
    <w:rsid w:val="00231B39"/>
    <w:rsid w:val="0023280E"/>
    <w:rsid w:val="002377D1"/>
    <w:rsid w:val="00242E23"/>
    <w:rsid w:val="00245F3F"/>
    <w:rsid w:val="002506BC"/>
    <w:rsid w:val="00254345"/>
    <w:rsid w:val="0025654E"/>
    <w:rsid w:val="00262D20"/>
    <w:rsid w:val="00264557"/>
    <w:rsid w:val="002805AB"/>
    <w:rsid w:val="00284204"/>
    <w:rsid w:val="00291773"/>
    <w:rsid w:val="002924A0"/>
    <w:rsid w:val="002A168C"/>
    <w:rsid w:val="002A3DC7"/>
    <w:rsid w:val="002A7BC6"/>
    <w:rsid w:val="002B17F5"/>
    <w:rsid w:val="002B2F6B"/>
    <w:rsid w:val="002B49E2"/>
    <w:rsid w:val="002B7B00"/>
    <w:rsid w:val="002B7C44"/>
    <w:rsid w:val="002B7FF1"/>
    <w:rsid w:val="002C2B17"/>
    <w:rsid w:val="002C3401"/>
    <w:rsid w:val="002C5DC8"/>
    <w:rsid w:val="002D3DD0"/>
    <w:rsid w:val="002D6B0F"/>
    <w:rsid w:val="002E1F3A"/>
    <w:rsid w:val="002E298A"/>
    <w:rsid w:val="002E3A3A"/>
    <w:rsid w:val="002E6F39"/>
    <w:rsid w:val="002F7898"/>
    <w:rsid w:val="002F78B2"/>
    <w:rsid w:val="002F7CE5"/>
    <w:rsid w:val="00301978"/>
    <w:rsid w:val="003023D3"/>
    <w:rsid w:val="00302F57"/>
    <w:rsid w:val="00302F7D"/>
    <w:rsid w:val="0030332C"/>
    <w:rsid w:val="0030393C"/>
    <w:rsid w:val="00303A97"/>
    <w:rsid w:val="00303FEB"/>
    <w:rsid w:val="003051C2"/>
    <w:rsid w:val="003054FA"/>
    <w:rsid w:val="00312296"/>
    <w:rsid w:val="00314F0E"/>
    <w:rsid w:val="00321D8E"/>
    <w:rsid w:val="00323B27"/>
    <w:rsid w:val="00325928"/>
    <w:rsid w:val="00332863"/>
    <w:rsid w:val="0033684D"/>
    <w:rsid w:val="00337B42"/>
    <w:rsid w:val="00341B42"/>
    <w:rsid w:val="0034348F"/>
    <w:rsid w:val="00344A0E"/>
    <w:rsid w:val="00346E26"/>
    <w:rsid w:val="003516A3"/>
    <w:rsid w:val="0035437B"/>
    <w:rsid w:val="00356653"/>
    <w:rsid w:val="0035743F"/>
    <w:rsid w:val="00357BE2"/>
    <w:rsid w:val="0036170C"/>
    <w:rsid w:val="00361A35"/>
    <w:rsid w:val="00361EEF"/>
    <w:rsid w:val="00363DF9"/>
    <w:rsid w:val="0036469B"/>
    <w:rsid w:val="003662FA"/>
    <w:rsid w:val="00366E0F"/>
    <w:rsid w:val="00371CCB"/>
    <w:rsid w:val="00371DC7"/>
    <w:rsid w:val="00374BC3"/>
    <w:rsid w:val="00374E04"/>
    <w:rsid w:val="00377F7A"/>
    <w:rsid w:val="00381A72"/>
    <w:rsid w:val="00384676"/>
    <w:rsid w:val="003866F8"/>
    <w:rsid w:val="00390857"/>
    <w:rsid w:val="00391B21"/>
    <w:rsid w:val="003936D1"/>
    <w:rsid w:val="003A3BE5"/>
    <w:rsid w:val="003A4BF3"/>
    <w:rsid w:val="003B1B0E"/>
    <w:rsid w:val="003B420D"/>
    <w:rsid w:val="003B6D2A"/>
    <w:rsid w:val="003C6C16"/>
    <w:rsid w:val="003D26BA"/>
    <w:rsid w:val="003D794D"/>
    <w:rsid w:val="003E3058"/>
    <w:rsid w:val="003E76A9"/>
    <w:rsid w:val="003F0258"/>
    <w:rsid w:val="003F0809"/>
    <w:rsid w:val="003F4196"/>
    <w:rsid w:val="003F6645"/>
    <w:rsid w:val="003F6A8C"/>
    <w:rsid w:val="003F755C"/>
    <w:rsid w:val="004006D1"/>
    <w:rsid w:val="0040099D"/>
    <w:rsid w:val="00402790"/>
    <w:rsid w:val="00405138"/>
    <w:rsid w:val="00406F01"/>
    <w:rsid w:val="00410711"/>
    <w:rsid w:val="0041589B"/>
    <w:rsid w:val="00416D50"/>
    <w:rsid w:val="00416FD5"/>
    <w:rsid w:val="0041707E"/>
    <w:rsid w:val="00417772"/>
    <w:rsid w:val="00417998"/>
    <w:rsid w:val="00420E6A"/>
    <w:rsid w:val="004259BD"/>
    <w:rsid w:val="00425A9E"/>
    <w:rsid w:val="00426D6B"/>
    <w:rsid w:val="00426FB3"/>
    <w:rsid w:val="004317E3"/>
    <w:rsid w:val="00431E6C"/>
    <w:rsid w:val="00433CE7"/>
    <w:rsid w:val="004458A3"/>
    <w:rsid w:val="00451767"/>
    <w:rsid w:val="00452410"/>
    <w:rsid w:val="00452738"/>
    <w:rsid w:val="00452D69"/>
    <w:rsid w:val="00453030"/>
    <w:rsid w:val="00456091"/>
    <w:rsid w:val="00462F01"/>
    <w:rsid w:val="00466321"/>
    <w:rsid w:val="0048422E"/>
    <w:rsid w:val="00484B9B"/>
    <w:rsid w:val="004855F6"/>
    <w:rsid w:val="0048661E"/>
    <w:rsid w:val="00487461"/>
    <w:rsid w:val="004921FB"/>
    <w:rsid w:val="004940C7"/>
    <w:rsid w:val="00494670"/>
    <w:rsid w:val="00494754"/>
    <w:rsid w:val="0049625C"/>
    <w:rsid w:val="004A3823"/>
    <w:rsid w:val="004A5C1C"/>
    <w:rsid w:val="004B3503"/>
    <w:rsid w:val="004B3915"/>
    <w:rsid w:val="004B4E95"/>
    <w:rsid w:val="004C0C4B"/>
    <w:rsid w:val="004C633C"/>
    <w:rsid w:val="004D770D"/>
    <w:rsid w:val="004E1906"/>
    <w:rsid w:val="004E6946"/>
    <w:rsid w:val="004F1AD8"/>
    <w:rsid w:val="004F5D76"/>
    <w:rsid w:val="005039CB"/>
    <w:rsid w:val="00503B01"/>
    <w:rsid w:val="0050558F"/>
    <w:rsid w:val="00506286"/>
    <w:rsid w:val="0051015F"/>
    <w:rsid w:val="00510813"/>
    <w:rsid w:val="00511990"/>
    <w:rsid w:val="00511DE0"/>
    <w:rsid w:val="005142FD"/>
    <w:rsid w:val="00514870"/>
    <w:rsid w:val="00514B9B"/>
    <w:rsid w:val="00517F02"/>
    <w:rsid w:val="0052412E"/>
    <w:rsid w:val="00524303"/>
    <w:rsid w:val="005258A2"/>
    <w:rsid w:val="00525E02"/>
    <w:rsid w:val="0052600C"/>
    <w:rsid w:val="005319EE"/>
    <w:rsid w:val="00537452"/>
    <w:rsid w:val="005401AE"/>
    <w:rsid w:val="00542E07"/>
    <w:rsid w:val="00545424"/>
    <w:rsid w:val="00545EEC"/>
    <w:rsid w:val="00546706"/>
    <w:rsid w:val="005519E7"/>
    <w:rsid w:val="00552BD4"/>
    <w:rsid w:val="00554A7B"/>
    <w:rsid w:val="0055572C"/>
    <w:rsid w:val="00560F26"/>
    <w:rsid w:val="0056106A"/>
    <w:rsid w:val="00561EE0"/>
    <w:rsid w:val="0056388D"/>
    <w:rsid w:val="0056613B"/>
    <w:rsid w:val="005720AE"/>
    <w:rsid w:val="0057681C"/>
    <w:rsid w:val="00581F24"/>
    <w:rsid w:val="0059041B"/>
    <w:rsid w:val="005909B1"/>
    <w:rsid w:val="005943AA"/>
    <w:rsid w:val="00594D77"/>
    <w:rsid w:val="005969E4"/>
    <w:rsid w:val="005A06B7"/>
    <w:rsid w:val="005A1759"/>
    <w:rsid w:val="005A68A7"/>
    <w:rsid w:val="005B0260"/>
    <w:rsid w:val="005B06A4"/>
    <w:rsid w:val="005B2B72"/>
    <w:rsid w:val="005B547A"/>
    <w:rsid w:val="005C01D2"/>
    <w:rsid w:val="005C4086"/>
    <w:rsid w:val="005C7332"/>
    <w:rsid w:val="005D22C4"/>
    <w:rsid w:val="005D36AB"/>
    <w:rsid w:val="005D3FD1"/>
    <w:rsid w:val="005F075E"/>
    <w:rsid w:val="005F1C72"/>
    <w:rsid w:val="005F1CF4"/>
    <w:rsid w:val="00601FF2"/>
    <w:rsid w:val="00610D94"/>
    <w:rsid w:val="00611FEA"/>
    <w:rsid w:val="00614CC0"/>
    <w:rsid w:val="00617CC3"/>
    <w:rsid w:val="00620F60"/>
    <w:rsid w:val="006221AC"/>
    <w:rsid w:val="006247D3"/>
    <w:rsid w:val="00625E5E"/>
    <w:rsid w:val="0063040D"/>
    <w:rsid w:val="00634174"/>
    <w:rsid w:val="0063764E"/>
    <w:rsid w:val="006377A6"/>
    <w:rsid w:val="00637A3D"/>
    <w:rsid w:val="006411EF"/>
    <w:rsid w:val="00641F01"/>
    <w:rsid w:val="00642D95"/>
    <w:rsid w:val="00643840"/>
    <w:rsid w:val="00646BEA"/>
    <w:rsid w:val="006578B0"/>
    <w:rsid w:val="006748B8"/>
    <w:rsid w:val="006775C3"/>
    <w:rsid w:val="006873C0"/>
    <w:rsid w:val="0069290A"/>
    <w:rsid w:val="0069775A"/>
    <w:rsid w:val="00697813"/>
    <w:rsid w:val="006A3EE8"/>
    <w:rsid w:val="006A4A0C"/>
    <w:rsid w:val="006A72BF"/>
    <w:rsid w:val="006A7533"/>
    <w:rsid w:val="006B03F2"/>
    <w:rsid w:val="006B1ABB"/>
    <w:rsid w:val="006B37DC"/>
    <w:rsid w:val="006B4F68"/>
    <w:rsid w:val="006B6065"/>
    <w:rsid w:val="006B6310"/>
    <w:rsid w:val="006C0592"/>
    <w:rsid w:val="006C272E"/>
    <w:rsid w:val="006C3679"/>
    <w:rsid w:val="006C4E60"/>
    <w:rsid w:val="006C5479"/>
    <w:rsid w:val="006D13B5"/>
    <w:rsid w:val="006D2A98"/>
    <w:rsid w:val="006D4434"/>
    <w:rsid w:val="006E06B5"/>
    <w:rsid w:val="006E12FF"/>
    <w:rsid w:val="006E3D41"/>
    <w:rsid w:val="006E607E"/>
    <w:rsid w:val="006E620E"/>
    <w:rsid w:val="0070092D"/>
    <w:rsid w:val="007038FC"/>
    <w:rsid w:val="00704144"/>
    <w:rsid w:val="00706C5D"/>
    <w:rsid w:val="00715416"/>
    <w:rsid w:val="0072432B"/>
    <w:rsid w:val="00727073"/>
    <w:rsid w:val="00732922"/>
    <w:rsid w:val="00735A23"/>
    <w:rsid w:val="00744443"/>
    <w:rsid w:val="0074504E"/>
    <w:rsid w:val="007459DC"/>
    <w:rsid w:val="0075162E"/>
    <w:rsid w:val="00754034"/>
    <w:rsid w:val="007559B1"/>
    <w:rsid w:val="00756556"/>
    <w:rsid w:val="007606AA"/>
    <w:rsid w:val="007608AA"/>
    <w:rsid w:val="007618C4"/>
    <w:rsid w:val="00767980"/>
    <w:rsid w:val="00770B19"/>
    <w:rsid w:val="007745D3"/>
    <w:rsid w:val="0077463F"/>
    <w:rsid w:val="00780F7B"/>
    <w:rsid w:val="007836EA"/>
    <w:rsid w:val="00784CDA"/>
    <w:rsid w:val="007906C4"/>
    <w:rsid w:val="00793DF0"/>
    <w:rsid w:val="007940EA"/>
    <w:rsid w:val="007967E8"/>
    <w:rsid w:val="007A2170"/>
    <w:rsid w:val="007A22BF"/>
    <w:rsid w:val="007A2C41"/>
    <w:rsid w:val="007A3323"/>
    <w:rsid w:val="007B1685"/>
    <w:rsid w:val="007B27E7"/>
    <w:rsid w:val="007B72B8"/>
    <w:rsid w:val="007B7A58"/>
    <w:rsid w:val="007C21B5"/>
    <w:rsid w:val="007D1192"/>
    <w:rsid w:val="007E4BD2"/>
    <w:rsid w:val="007E58FA"/>
    <w:rsid w:val="007E5E38"/>
    <w:rsid w:val="007E7540"/>
    <w:rsid w:val="007F464B"/>
    <w:rsid w:val="00801393"/>
    <w:rsid w:val="00802F88"/>
    <w:rsid w:val="00805248"/>
    <w:rsid w:val="0080603C"/>
    <w:rsid w:val="0080750F"/>
    <w:rsid w:val="0081293E"/>
    <w:rsid w:val="008148E2"/>
    <w:rsid w:val="00815465"/>
    <w:rsid w:val="00816572"/>
    <w:rsid w:val="00816987"/>
    <w:rsid w:val="00817E9A"/>
    <w:rsid w:val="008209A3"/>
    <w:rsid w:val="00824B79"/>
    <w:rsid w:val="008306BD"/>
    <w:rsid w:val="00831A80"/>
    <w:rsid w:val="00832825"/>
    <w:rsid w:val="00833743"/>
    <w:rsid w:val="008340A4"/>
    <w:rsid w:val="0083490D"/>
    <w:rsid w:val="008356D6"/>
    <w:rsid w:val="0083733B"/>
    <w:rsid w:val="00844FC0"/>
    <w:rsid w:val="00856826"/>
    <w:rsid w:val="008625B5"/>
    <w:rsid w:val="00862E9F"/>
    <w:rsid w:val="0087135F"/>
    <w:rsid w:val="00872D94"/>
    <w:rsid w:val="00875E76"/>
    <w:rsid w:val="00880364"/>
    <w:rsid w:val="00883FC0"/>
    <w:rsid w:val="008842FF"/>
    <w:rsid w:val="00891592"/>
    <w:rsid w:val="00891E9E"/>
    <w:rsid w:val="00894A1A"/>
    <w:rsid w:val="008A2F68"/>
    <w:rsid w:val="008A585A"/>
    <w:rsid w:val="008A74F9"/>
    <w:rsid w:val="008B4FA6"/>
    <w:rsid w:val="008B5282"/>
    <w:rsid w:val="008B7C17"/>
    <w:rsid w:val="008C2D01"/>
    <w:rsid w:val="008C40E6"/>
    <w:rsid w:val="008D0F7A"/>
    <w:rsid w:val="008D5CC8"/>
    <w:rsid w:val="008D68E4"/>
    <w:rsid w:val="008E0506"/>
    <w:rsid w:val="008E0CFF"/>
    <w:rsid w:val="008E101A"/>
    <w:rsid w:val="008E5D6B"/>
    <w:rsid w:val="008E76F0"/>
    <w:rsid w:val="008E7D5D"/>
    <w:rsid w:val="008F15FE"/>
    <w:rsid w:val="008F27E3"/>
    <w:rsid w:val="008F2D29"/>
    <w:rsid w:val="008F3793"/>
    <w:rsid w:val="008F401D"/>
    <w:rsid w:val="008F5187"/>
    <w:rsid w:val="008F60D8"/>
    <w:rsid w:val="00900CFA"/>
    <w:rsid w:val="00902727"/>
    <w:rsid w:val="0090312B"/>
    <w:rsid w:val="009063DE"/>
    <w:rsid w:val="00914518"/>
    <w:rsid w:val="0091736D"/>
    <w:rsid w:val="00920E5C"/>
    <w:rsid w:val="0093037A"/>
    <w:rsid w:val="009320F6"/>
    <w:rsid w:val="0094154D"/>
    <w:rsid w:val="00942A8A"/>
    <w:rsid w:val="00944AD1"/>
    <w:rsid w:val="00945DCC"/>
    <w:rsid w:val="0095155F"/>
    <w:rsid w:val="00953DE2"/>
    <w:rsid w:val="00954429"/>
    <w:rsid w:val="009563CE"/>
    <w:rsid w:val="009726B5"/>
    <w:rsid w:val="00974B35"/>
    <w:rsid w:val="00976328"/>
    <w:rsid w:val="0097680D"/>
    <w:rsid w:val="00982438"/>
    <w:rsid w:val="0098404C"/>
    <w:rsid w:val="00985283"/>
    <w:rsid w:val="009910B4"/>
    <w:rsid w:val="00995992"/>
    <w:rsid w:val="00995A67"/>
    <w:rsid w:val="00996602"/>
    <w:rsid w:val="009A03E5"/>
    <w:rsid w:val="009A0F3B"/>
    <w:rsid w:val="009A1BB4"/>
    <w:rsid w:val="009A2628"/>
    <w:rsid w:val="009A3200"/>
    <w:rsid w:val="009B02DF"/>
    <w:rsid w:val="009B0897"/>
    <w:rsid w:val="009B7BD9"/>
    <w:rsid w:val="009C772F"/>
    <w:rsid w:val="009C7DD5"/>
    <w:rsid w:val="009D7FF7"/>
    <w:rsid w:val="009E227D"/>
    <w:rsid w:val="009E5019"/>
    <w:rsid w:val="009E68CA"/>
    <w:rsid w:val="009F1283"/>
    <w:rsid w:val="00A01506"/>
    <w:rsid w:val="00A020D9"/>
    <w:rsid w:val="00A04F1B"/>
    <w:rsid w:val="00A0501B"/>
    <w:rsid w:val="00A12389"/>
    <w:rsid w:val="00A14947"/>
    <w:rsid w:val="00A21BB9"/>
    <w:rsid w:val="00A23439"/>
    <w:rsid w:val="00A25D33"/>
    <w:rsid w:val="00A32A83"/>
    <w:rsid w:val="00A339FD"/>
    <w:rsid w:val="00A368DB"/>
    <w:rsid w:val="00A3767A"/>
    <w:rsid w:val="00A40B1E"/>
    <w:rsid w:val="00A423AA"/>
    <w:rsid w:val="00A53EC6"/>
    <w:rsid w:val="00A55C0F"/>
    <w:rsid w:val="00A620B4"/>
    <w:rsid w:val="00A65D01"/>
    <w:rsid w:val="00A75211"/>
    <w:rsid w:val="00A77D33"/>
    <w:rsid w:val="00A8713F"/>
    <w:rsid w:val="00A87416"/>
    <w:rsid w:val="00A90BA1"/>
    <w:rsid w:val="00A97A9A"/>
    <w:rsid w:val="00AA0671"/>
    <w:rsid w:val="00AA2531"/>
    <w:rsid w:val="00AB1E09"/>
    <w:rsid w:val="00AB1EBF"/>
    <w:rsid w:val="00AB5330"/>
    <w:rsid w:val="00AB620B"/>
    <w:rsid w:val="00AB6698"/>
    <w:rsid w:val="00AB7747"/>
    <w:rsid w:val="00AC033F"/>
    <w:rsid w:val="00AC14CE"/>
    <w:rsid w:val="00AC28E4"/>
    <w:rsid w:val="00AC2A56"/>
    <w:rsid w:val="00AC3570"/>
    <w:rsid w:val="00AC6441"/>
    <w:rsid w:val="00AC7C15"/>
    <w:rsid w:val="00AD055E"/>
    <w:rsid w:val="00AD086C"/>
    <w:rsid w:val="00AD47A7"/>
    <w:rsid w:val="00AF0CBF"/>
    <w:rsid w:val="00AF257F"/>
    <w:rsid w:val="00AF33CF"/>
    <w:rsid w:val="00AF4D50"/>
    <w:rsid w:val="00AF6179"/>
    <w:rsid w:val="00B1063A"/>
    <w:rsid w:val="00B11B1E"/>
    <w:rsid w:val="00B1295A"/>
    <w:rsid w:val="00B13487"/>
    <w:rsid w:val="00B14922"/>
    <w:rsid w:val="00B17713"/>
    <w:rsid w:val="00B20A45"/>
    <w:rsid w:val="00B215B8"/>
    <w:rsid w:val="00B21B86"/>
    <w:rsid w:val="00B22C5C"/>
    <w:rsid w:val="00B24939"/>
    <w:rsid w:val="00B24F30"/>
    <w:rsid w:val="00B252E4"/>
    <w:rsid w:val="00B30EAB"/>
    <w:rsid w:val="00B318FB"/>
    <w:rsid w:val="00B31ABF"/>
    <w:rsid w:val="00B33BE3"/>
    <w:rsid w:val="00B34F6D"/>
    <w:rsid w:val="00B445D8"/>
    <w:rsid w:val="00B446FC"/>
    <w:rsid w:val="00B5388B"/>
    <w:rsid w:val="00B53B5D"/>
    <w:rsid w:val="00B6055E"/>
    <w:rsid w:val="00B6098F"/>
    <w:rsid w:val="00B6317D"/>
    <w:rsid w:val="00B70D8F"/>
    <w:rsid w:val="00B7723F"/>
    <w:rsid w:val="00B80534"/>
    <w:rsid w:val="00B8433C"/>
    <w:rsid w:val="00B87491"/>
    <w:rsid w:val="00BA29E9"/>
    <w:rsid w:val="00BA59D9"/>
    <w:rsid w:val="00BA6DD5"/>
    <w:rsid w:val="00BA7142"/>
    <w:rsid w:val="00BB0CFC"/>
    <w:rsid w:val="00BB237C"/>
    <w:rsid w:val="00BB32E9"/>
    <w:rsid w:val="00BB41A3"/>
    <w:rsid w:val="00BC19C3"/>
    <w:rsid w:val="00BC32DC"/>
    <w:rsid w:val="00BC35B6"/>
    <w:rsid w:val="00BD1B51"/>
    <w:rsid w:val="00BD3992"/>
    <w:rsid w:val="00BD4596"/>
    <w:rsid w:val="00BE041C"/>
    <w:rsid w:val="00BE1405"/>
    <w:rsid w:val="00BE312D"/>
    <w:rsid w:val="00BE5730"/>
    <w:rsid w:val="00BE6941"/>
    <w:rsid w:val="00BF1C20"/>
    <w:rsid w:val="00C03263"/>
    <w:rsid w:val="00C101CC"/>
    <w:rsid w:val="00C10578"/>
    <w:rsid w:val="00C135BC"/>
    <w:rsid w:val="00C15C95"/>
    <w:rsid w:val="00C22468"/>
    <w:rsid w:val="00C2596A"/>
    <w:rsid w:val="00C27537"/>
    <w:rsid w:val="00C328FE"/>
    <w:rsid w:val="00C33507"/>
    <w:rsid w:val="00C4409D"/>
    <w:rsid w:val="00C44720"/>
    <w:rsid w:val="00C44E72"/>
    <w:rsid w:val="00C456A3"/>
    <w:rsid w:val="00C45A06"/>
    <w:rsid w:val="00C47E5B"/>
    <w:rsid w:val="00C61E4B"/>
    <w:rsid w:val="00C64BFF"/>
    <w:rsid w:val="00C704E9"/>
    <w:rsid w:val="00C70940"/>
    <w:rsid w:val="00C763C9"/>
    <w:rsid w:val="00C80057"/>
    <w:rsid w:val="00C82232"/>
    <w:rsid w:val="00C82913"/>
    <w:rsid w:val="00C90824"/>
    <w:rsid w:val="00C915F7"/>
    <w:rsid w:val="00C972B1"/>
    <w:rsid w:val="00CA2CCE"/>
    <w:rsid w:val="00CA43FD"/>
    <w:rsid w:val="00CA46D6"/>
    <w:rsid w:val="00CA7EF8"/>
    <w:rsid w:val="00CB3E1F"/>
    <w:rsid w:val="00CB66B2"/>
    <w:rsid w:val="00CB6D3D"/>
    <w:rsid w:val="00CC2368"/>
    <w:rsid w:val="00CC489B"/>
    <w:rsid w:val="00CC6FD9"/>
    <w:rsid w:val="00CD1A44"/>
    <w:rsid w:val="00CD2BCD"/>
    <w:rsid w:val="00CD3A4C"/>
    <w:rsid w:val="00CD75AD"/>
    <w:rsid w:val="00CD7A2D"/>
    <w:rsid w:val="00CE02D2"/>
    <w:rsid w:val="00CE10E9"/>
    <w:rsid w:val="00CE1BCB"/>
    <w:rsid w:val="00CE2910"/>
    <w:rsid w:val="00CE5393"/>
    <w:rsid w:val="00CF0FA5"/>
    <w:rsid w:val="00CF36BE"/>
    <w:rsid w:val="00CF3910"/>
    <w:rsid w:val="00CF6000"/>
    <w:rsid w:val="00D003F3"/>
    <w:rsid w:val="00D02D2F"/>
    <w:rsid w:val="00D0364F"/>
    <w:rsid w:val="00D0413E"/>
    <w:rsid w:val="00D06834"/>
    <w:rsid w:val="00D17D28"/>
    <w:rsid w:val="00D308ED"/>
    <w:rsid w:val="00D36CD8"/>
    <w:rsid w:val="00D36D86"/>
    <w:rsid w:val="00D428AA"/>
    <w:rsid w:val="00D47025"/>
    <w:rsid w:val="00D50867"/>
    <w:rsid w:val="00D50A34"/>
    <w:rsid w:val="00D53EFA"/>
    <w:rsid w:val="00D637D8"/>
    <w:rsid w:val="00D733FC"/>
    <w:rsid w:val="00D74C77"/>
    <w:rsid w:val="00D77255"/>
    <w:rsid w:val="00D77BE3"/>
    <w:rsid w:val="00D94A7C"/>
    <w:rsid w:val="00D95896"/>
    <w:rsid w:val="00D96A08"/>
    <w:rsid w:val="00DA5B89"/>
    <w:rsid w:val="00DB2983"/>
    <w:rsid w:val="00DB394B"/>
    <w:rsid w:val="00DB4A6F"/>
    <w:rsid w:val="00DC1257"/>
    <w:rsid w:val="00DC26C6"/>
    <w:rsid w:val="00DC3DC0"/>
    <w:rsid w:val="00DC5B2B"/>
    <w:rsid w:val="00DC75ED"/>
    <w:rsid w:val="00DD318D"/>
    <w:rsid w:val="00DD7F91"/>
    <w:rsid w:val="00DE57AD"/>
    <w:rsid w:val="00DE7271"/>
    <w:rsid w:val="00DF2E12"/>
    <w:rsid w:val="00DF514A"/>
    <w:rsid w:val="00DF5F58"/>
    <w:rsid w:val="00DF6690"/>
    <w:rsid w:val="00DF6804"/>
    <w:rsid w:val="00DF7083"/>
    <w:rsid w:val="00E01B9C"/>
    <w:rsid w:val="00E0358D"/>
    <w:rsid w:val="00E04323"/>
    <w:rsid w:val="00E070A2"/>
    <w:rsid w:val="00E14C85"/>
    <w:rsid w:val="00E24D6C"/>
    <w:rsid w:val="00E2656A"/>
    <w:rsid w:val="00E31B3F"/>
    <w:rsid w:val="00E36827"/>
    <w:rsid w:val="00E40880"/>
    <w:rsid w:val="00E412D0"/>
    <w:rsid w:val="00E43FA7"/>
    <w:rsid w:val="00E53C8E"/>
    <w:rsid w:val="00E54D24"/>
    <w:rsid w:val="00E55D47"/>
    <w:rsid w:val="00E56322"/>
    <w:rsid w:val="00E60982"/>
    <w:rsid w:val="00E62C62"/>
    <w:rsid w:val="00E654C1"/>
    <w:rsid w:val="00E65D97"/>
    <w:rsid w:val="00E72A5A"/>
    <w:rsid w:val="00E73354"/>
    <w:rsid w:val="00E9242D"/>
    <w:rsid w:val="00E97490"/>
    <w:rsid w:val="00EA60EF"/>
    <w:rsid w:val="00EB0751"/>
    <w:rsid w:val="00EB0BA1"/>
    <w:rsid w:val="00EB31CF"/>
    <w:rsid w:val="00EB5255"/>
    <w:rsid w:val="00EB5C47"/>
    <w:rsid w:val="00EB7E60"/>
    <w:rsid w:val="00EC68D7"/>
    <w:rsid w:val="00EC6F99"/>
    <w:rsid w:val="00ED0639"/>
    <w:rsid w:val="00ED4ABA"/>
    <w:rsid w:val="00EE01B2"/>
    <w:rsid w:val="00EF4755"/>
    <w:rsid w:val="00EF7135"/>
    <w:rsid w:val="00F018DD"/>
    <w:rsid w:val="00F027DB"/>
    <w:rsid w:val="00F03747"/>
    <w:rsid w:val="00F14A7A"/>
    <w:rsid w:val="00F22985"/>
    <w:rsid w:val="00F31630"/>
    <w:rsid w:val="00F3383E"/>
    <w:rsid w:val="00F36872"/>
    <w:rsid w:val="00F36D40"/>
    <w:rsid w:val="00F436FE"/>
    <w:rsid w:val="00F4511A"/>
    <w:rsid w:val="00F46235"/>
    <w:rsid w:val="00F465A7"/>
    <w:rsid w:val="00F473BE"/>
    <w:rsid w:val="00F50B7C"/>
    <w:rsid w:val="00F550E6"/>
    <w:rsid w:val="00F56582"/>
    <w:rsid w:val="00F6146F"/>
    <w:rsid w:val="00F63A33"/>
    <w:rsid w:val="00F641B7"/>
    <w:rsid w:val="00F74345"/>
    <w:rsid w:val="00F759D4"/>
    <w:rsid w:val="00F80A0A"/>
    <w:rsid w:val="00F82B19"/>
    <w:rsid w:val="00F85BA8"/>
    <w:rsid w:val="00F91EB0"/>
    <w:rsid w:val="00F9208E"/>
    <w:rsid w:val="00F9212D"/>
    <w:rsid w:val="00F92B71"/>
    <w:rsid w:val="00F960B0"/>
    <w:rsid w:val="00F965DA"/>
    <w:rsid w:val="00FA0DBE"/>
    <w:rsid w:val="00FA0E67"/>
    <w:rsid w:val="00FA406A"/>
    <w:rsid w:val="00FB1E37"/>
    <w:rsid w:val="00FB503A"/>
    <w:rsid w:val="00FB516C"/>
    <w:rsid w:val="00FB6682"/>
    <w:rsid w:val="00FB74BD"/>
    <w:rsid w:val="00FD0236"/>
    <w:rsid w:val="00FD18F4"/>
    <w:rsid w:val="00FD54DB"/>
    <w:rsid w:val="00FD619F"/>
    <w:rsid w:val="00FE47E9"/>
    <w:rsid w:val="01290F7E"/>
    <w:rsid w:val="015D1E09"/>
    <w:rsid w:val="026478F5"/>
    <w:rsid w:val="02697903"/>
    <w:rsid w:val="02D83D58"/>
    <w:rsid w:val="02E62FD5"/>
    <w:rsid w:val="02F96569"/>
    <w:rsid w:val="03394299"/>
    <w:rsid w:val="038B483B"/>
    <w:rsid w:val="038D3451"/>
    <w:rsid w:val="03B47A00"/>
    <w:rsid w:val="03D82AF5"/>
    <w:rsid w:val="03EA7B21"/>
    <w:rsid w:val="03F62DA4"/>
    <w:rsid w:val="03F755C6"/>
    <w:rsid w:val="045B159D"/>
    <w:rsid w:val="04C15480"/>
    <w:rsid w:val="04E67986"/>
    <w:rsid w:val="04F6345F"/>
    <w:rsid w:val="04FC6AE0"/>
    <w:rsid w:val="051200B1"/>
    <w:rsid w:val="054D2E98"/>
    <w:rsid w:val="05AA02EA"/>
    <w:rsid w:val="05B146DA"/>
    <w:rsid w:val="05B34B26"/>
    <w:rsid w:val="05F83EAE"/>
    <w:rsid w:val="06042115"/>
    <w:rsid w:val="0631328E"/>
    <w:rsid w:val="063E7D85"/>
    <w:rsid w:val="06581AF4"/>
    <w:rsid w:val="0696086E"/>
    <w:rsid w:val="06AC34F7"/>
    <w:rsid w:val="07293586"/>
    <w:rsid w:val="07295285"/>
    <w:rsid w:val="0753050D"/>
    <w:rsid w:val="075F6EB2"/>
    <w:rsid w:val="07636392"/>
    <w:rsid w:val="076A5809"/>
    <w:rsid w:val="07770C56"/>
    <w:rsid w:val="07BF4A23"/>
    <w:rsid w:val="07D72EEC"/>
    <w:rsid w:val="080A418C"/>
    <w:rsid w:val="08314CF2"/>
    <w:rsid w:val="08421BC8"/>
    <w:rsid w:val="087150EF"/>
    <w:rsid w:val="08B03E69"/>
    <w:rsid w:val="08DB29E2"/>
    <w:rsid w:val="090B72F2"/>
    <w:rsid w:val="090D12BC"/>
    <w:rsid w:val="091B5662"/>
    <w:rsid w:val="092217DD"/>
    <w:rsid w:val="093A7294"/>
    <w:rsid w:val="09497E1A"/>
    <w:rsid w:val="09C15C02"/>
    <w:rsid w:val="09E71B0D"/>
    <w:rsid w:val="09EE5271"/>
    <w:rsid w:val="0A263993"/>
    <w:rsid w:val="0A2D3AC2"/>
    <w:rsid w:val="0A590531"/>
    <w:rsid w:val="0AA755DF"/>
    <w:rsid w:val="0AA95014"/>
    <w:rsid w:val="0AAE43D8"/>
    <w:rsid w:val="0AC05EBA"/>
    <w:rsid w:val="0ACA1B56"/>
    <w:rsid w:val="0B120D44"/>
    <w:rsid w:val="0B41349E"/>
    <w:rsid w:val="0B8A2AEF"/>
    <w:rsid w:val="0BBA4FFF"/>
    <w:rsid w:val="0BC814CA"/>
    <w:rsid w:val="0BCD4D32"/>
    <w:rsid w:val="0BD27BF6"/>
    <w:rsid w:val="0BD64561"/>
    <w:rsid w:val="0C3B3C7D"/>
    <w:rsid w:val="0C88659A"/>
    <w:rsid w:val="0CAB2EAE"/>
    <w:rsid w:val="0CDA7707"/>
    <w:rsid w:val="0D187FDC"/>
    <w:rsid w:val="0D2F5B49"/>
    <w:rsid w:val="0D4E59FF"/>
    <w:rsid w:val="0D621C7D"/>
    <w:rsid w:val="0D794C95"/>
    <w:rsid w:val="0DC7755F"/>
    <w:rsid w:val="0DD57ECE"/>
    <w:rsid w:val="0E484B44"/>
    <w:rsid w:val="0E4A266A"/>
    <w:rsid w:val="0E653000"/>
    <w:rsid w:val="0E72571D"/>
    <w:rsid w:val="0E73034D"/>
    <w:rsid w:val="0EB977F0"/>
    <w:rsid w:val="0F13775A"/>
    <w:rsid w:val="0F2729AB"/>
    <w:rsid w:val="0F3A448D"/>
    <w:rsid w:val="0F491274"/>
    <w:rsid w:val="0F5F45FE"/>
    <w:rsid w:val="0F64150A"/>
    <w:rsid w:val="0F9A112B"/>
    <w:rsid w:val="0FDA3DE2"/>
    <w:rsid w:val="0FEE0B17"/>
    <w:rsid w:val="0FEE34C9"/>
    <w:rsid w:val="10107404"/>
    <w:rsid w:val="104A57A2"/>
    <w:rsid w:val="105477D0"/>
    <w:rsid w:val="106D2F64"/>
    <w:rsid w:val="10943CF0"/>
    <w:rsid w:val="10953945"/>
    <w:rsid w:val="109D1177"/>
    <w:rsid w:val="10B63710"/>
    <w:rsid w:val="10E16B8A"/>
    <w:rsid w:val="10F10820"/>
    <w:rsid w:val="111C2F7A"/>
    <w:rsid w:val="11447845"/>
    <w:rsid w:val="11665CA1"/>
    <w:rsid w:val="1179013D"/>
    <w:rsid w:val="12103BCB"/>
    <w:rsid w:val="12323B41"/>
    <w:rsid w:val="123E1747"/>
    <w:rsid w:val="126B7053"/>
    <w:rsid w:val="12851EC3"/>
    <w:rsid w:val="12944A1D"/>
    <w:rsid w:val="12E9650E"/>
    <w:rsid w:val="1311486C"/>
    <w:rsid w:val="134F427F"/>
    <w:rsid w:val="136C6BDF"/>
    <w:rsid w:val="13893C35"/>
    <w:rsid w:val="13951726"/>
    <w:rsid w:val="13C70AEA"/>
    <w:rsid w:val="13CC1D73"/>
    <w:rsid w:val="13CC5D99"/>
    <w:rsid w:val="13CC781F"/>
    <w:rsid w:val="14396509"/>
    <w:rsid w:val="14423DE3"/>
    <w:rsid w:val="1463591C"/>
    <w:rsid w:val="14D507B4"/>
    <w:rsid w:val="14DD2C3C"/>
    <w:rsid w:val="14E8107C"/>
    <w:rsid w:val="15BB209F"/>
    <w:rsid w:val="15EB4733"/>
    <w:rsid w:val="16087E1D"/>
    <w:rsid w:val="160A4A73"/>
    <w:rsid w:val="160F7CF5"/>
    <w:rsid w:val="167D63DE"/>
    <w:rsid w:val="16C94348"/>
    <w:rsid w:val="16E85F3C"/>
    <w:rsid w:val="171F21BA"/>
    <w:rsid w:val="17254919"/>
    <w:rsid w:val="17544559"/>
    <w:rsid w:val="17701D14"/>
    <w:rsid w:val="17735226"/>
    <w:rsid w:val="1791130A"/>
    <w:rsid w:val="179F5F07"/>
    <w:rsid w:val="1800023D"/>
    <w:rsid w:val="18005E60"/>
    <w:rsid w:val="18354985"/>
    <w:rsid w:val="189F624C"/>
    <w:rsid w:val="18C354F3"/>
    <w:rsid w:val="18E37943"/>
    <w:rsid w:val="19263CD4"/>
    <w:rsid w:val="19787FBA"/>
    <w:rsid w:val="19E50C59"/>
    <w:rsid w:val="19EC5694"/>
    <w:rsid w:val="19FE52B1"/>
    <w:rsid w:val="1A01758D"/>
    <w:rsid w:val="1A1C66C0"/>
    <w:rsid w:val="1A202E4D"/>
    <w:rsid w:val="1A2C5E7B"/>
    <w:rsid w:val="1A2C6213"/>
    <w:rsid w:val="1A42393B"/>
    <w:rsid w:val="1A6525DA"/>
    <w:rsid w:val="1A8E7D82"/>
    <w:rsid w:val="1A954C6D"/>
    <w:rsid w:val="1AA50C28"/>
    <w:rsid w:val="1AAD45DE"/>
    <w:rsid w:val="1AB45D21"/>
    <w:rsid w:val="1AD75285"/>
    <w:rsid w:val="1B02183F"/>
    <w:rsid w:val="1B046F80"/>
    <w:rsid w:val="1B157B5C"/>
    <w:rsid w:val="1B3267B5"/>
    <w:rsid w:val="1B40161D"/>
    <w:rsid w:val="1B441859"/>
    <w:rsid w:val="1B6606B1"/>
    <w:rsid w:val="1B8336CC"/>
    <w:rsid w:val="1BAF3479"/>
    <w:rsid w:val="1BB53BFC"/>
    <w:rsid w:val="1BDE0896"/>
    <w:rsid w:val="1C07499A"/>
    <w:rsid w:val="1C176C00"/>
    <w:rsid w:val="1C1C7324"/>
    <w:rsid w:val="1C35495A"/>
    <w:rsid w:val="1C5E7925"/>
    <w:rsid w:val="1C8A6328"/>
    <w:rsid w:val="1CBB00C5"/>
    <w:rsid w:val="1CBC0BD7"/>
    <w:rsid w:val="1CFD070F"/>
    <w:rsid w:val="1D3C3AC6"/>
    <w:rsid w:val="1D5232E9"/>
    <w:rsid w:val="1D5F6196"/>
    <w:rsid w:val="1D6132A5"/>
    <w:rsid w:val="1D8E56D5"/>
    <w:rsid w:val="1DB06FA4"/>
    <w:rsid w:val="1DD65CC8"/>
    <w:rsid w:val="1DF223D6"/>
    <w:rsid w:val="1E006691"/>
    <w:rsid w:val="1E4C5F8A"/>
    <w:rsid w:val="1E7A43DA"/>
    <w:rsid w:val="1ED02243"/>
    <w:rsid w:val="1EEA12FF"/>
    <w:rsid w:val="1EEA64FD"/>
    <w:rsid w:val="1EFA3A95"/>
    <w:rsid w:val="1F024304"/>
    <w:rsid w:val="1F327D4A"/>
    <w:rsid w:val="1F415E17"/>
    <w:rsid w:val="1F6507F2"/>
    <w:rsid w:val="1F8D16EA"/>
    <w:rsid w:val="1F8D23B7"/>
    <w:rsid w:val="1FAD0CAB"/>
    <w:rsid w:val="1FC658C9"/>
    <w:rsid w:val="1FC748BA"/>
    <w:rsid w:val="1FE7539E"/>
    <w:rsid w:val="1FED554B"/>
    <w:rsid w:val="200D4A5E"/>
    <w:rsid w:val="203A6A0B"/>
    <w:rsid w:val="20671BE0"/>
    <w:rsid w:val="209570A1"/>
    <w:rsid w:val="20963CB8"/>
    <w:rsid w:val="20A81A1B"/>
    <w:rsid w:val="20B07FB6"/>
    <w:rsid w:val="20B646FB"/>
    <w:rsid w:val="20EF0E4F"/>
    <w:rsid w:val="21224D81"/>
    <w:rsid w:val="213B74B1"/>
    <w:rsid w:val="215A2310"/>
    <w:rsid w:val="21776BEC"/>
    <w:rsid w:val="218A3BC6"/>
    <w:rsid w:val="218E0668"/>
    <w:rsid w:val="21B97996"/>
    <w:rsid w:val="21BE127A"/>
    <w:rsid w:val="21DE318A"/>
    <w:rsid w:val="21EF5B80"/>
    <w:rsid w:val="21F11323"/>
    <w:rsid w:val="220646A2"/>
    <w:rsid w:val="222D7E81"/>
    <w:rsid w:val="22576990"/>
    <w:rsid w:val="226F0499"/>
    <w:rsid w:val="22C53076"/>
    <w:rsid w:val="22DC0A1F"/>
    <w:rsid w:val="22F47480"/>
    <w:rsid w:val="22FB2867"/>
    <w:rsid w:val="23265579"/>
    <w:rsid w:val="232748D0"/>
    <w:rsid w:val="23436BD1"/>
    <w:rsid w:val="23720241"/>
    <w:rsid w:val="23B6545A"/>
    <w:rsid w:val="23B7472E"/>
    <w:rsid w:val="23DE1C48"/>
    <w:rsid w:val="23FA3D93"/>
    <w:rsid w:val="240210CD"/>
    <w:rsid w:val="24141D9B"/>
    <w:rsid w:val="243F3E9B"/>
    <w:rsid w:val="245711E5"/>
    <w:rsid w:val="24BF09F7"/>
    <w:rsid w:val="24C90335"/>
    <w:rsid w:val="25087537"/>
    <w:rsid w:val="252D53FE"/>
    <w:rsid w:val="25406A43"/>
    <w:rsid w:val="255D0A7D"/>
    <w:rsid w:val="257D2ECD"/>
    <w:rsid w:val="258204E4"/>
    <w:rsid w:val="25EC2D81"/>
    <w:rsid w:val="261255FF"/>
    <w:rsid w:val="26526108"/>
    <w:rsid w:val="26541E80"/>
    <w:rsid w:val="26AC0E40"/>
    <w:rsid w:val="26C568DA"/>
    <w:rsid w:val="270E022C"/>
    <w:rsid w:val="27221F7E"/>
    <w:rsid w:val="277057A2"/>
    <w:rsid w:val="27DA1626"/>
    <w:rsid w:val="27EE1E60"/>
    <w:rsid w:val="28213FE4"/>
    <w:rsid w:val="28433F5A"/>
    <w:rsid w:val="285A2BA1"/>
    <w:rsid w:val="28936B14"/>
    <w:rsid w:val="28A15C44"/>
    <w:rsid w:val="28B704A4"/>
    <w:rsid w:val="28D4759D"/>
    <w:rsid w:val="28D510D6"/>
    <w:rsid w:val="290343AE"/>
    <w:rsid w:val="29206EB8"/>
    <w:rsid w:val="29226266"/>
    <w:rsid w:val="29381D5F"/>
    <w:rsid w:val="29455AB0"/>
    <w:rsid w:val="294A756A"/>
    <w:rsid w:val="29595666"/>
    <w:rsid w:val="29695C42"/>
    <w:rsid w:val="296E7531"/>
    <w:rsid w:val="29874881"/>
    <w:rsid w:val="29BB3FC4"/>
    <w:rsid w:val="29C4731D"/>
    <w:rsid w:val="29E325E0"/>
    <w:rsid w:val="29FC6AB7"/>
    <w:rsid w:val="2A3C6EB3"/>
    <w:rsid w:val="2A452503"/>
    <w:rsid w:val="2AC375D4"/>
    <w:rsid w:val="2AE9690F"/>
    <w:rsid w:val="2AEA4748"/>
    <w:rsid w:val="2AEF1EF7"/>
    <w:rsid w:val="2B255B99"/>
    <w:rsid w:val="2B297614"/>
    <w:rsid w:val="2B3202B6"/>
    <w:rsid w:val="2B3B467B"/>
    <w:rsid w:val="2B4F0E68"/>
    <w:rsid w:val="2B6D185F"/>
    <w:rsid w:val="2B732DA8"/>
    <w:rsid w:val="2B7D3C27"/>
    <w:rsid w:val="2BA03472"/>
    <w:rsid w:val="2BA56CDA"/>
    <w:rsid w:val="2BA936A8"/>
    <w:rsid w:val="2BBF1698"/>
    <w:rsid w:val="2C1C3440"/>
    <w:rsid w:val="2C315A5A"/>
    <w:rsid w:val="2C4B1C25"/>
    <w:rsid w:val="2C8114F5"/>
    <w:rsid w:val="2C8C4B8D"/>
    <w:rsid w:val="2C9E674E"/>
    <w:rsid w:val="2CDF4B0F"/>
    <w:rsid w:val="2D376058"/>
    <w:rsid w:val="2D4F15F3"/>
    <w:rsid w:val="2D4F33A1"/>
    <w:rsid w:val="2D904132"/>
    <w:rsid w:val="2D9E56F5"/>
    <w:rsid w:val="2DA7431C"/>
    <w:rsid w:val="2DCC2C44"/>
    <w:rsid w:val="2DCF162E"/>
    <w:rsid w:val="2DD815E9"/>
    <w:rsid w:val="2E0F246F"/>
    <w:rsid w:val="2E667F96"/>
    <w:rsid w:val="2E8226AB"/>
    <w:rsid w:val="2E9279E9"/>
    <w:rsid w:val="2F394C9E"/>
    <w:rsid w:val="2F6649D2"/>
    <w:rsid w:val="2FBC180A"/>
    <w:rsid w:val="2FD065E6"/>
    <w:rsid w:val="2FD96870"/>
    <w:rsid w:val="2FE96A5F"/>
    <w:rsid w:val="2FEE50F3"/>
    <w:rsid w:val="3005354A"/>
    <w:rsid w:val="3013798C"/>
    <w:rsid w:val="301601A6"/>
    <w:rsid w:val="30580BC9"/>
    <w:rsid w:val="307D1FD3"/>
    <w:rsid w:val="30CE5B4D"/>
    <w:rsid w:val="31123B71"/>
    <w:rsid w:val="311E2ED7"/>
    <w:rsid w:val="31277A6D"/>
    <w:rsid w:val="315619EE"/>
    <w:rsid w:val="315C449C"/>
    <w:rsid w:val="31707702"/>
    <w:rsid w:val="31B82709"/>
    <w:rsid w:val="31C143D8"/>
    <w:rsid w:val="31D05482"/>
    <w:rsid w:val="31D62BCE"/>
    <w:rsid w:val="31FB670A"/>
    <w:rsid w:val="32204AAC"/>
    <w:rsid w:val="323D6B00"/>
    <w:rsid w:val="32400B34"/>
    <w:rsid w:val="329110B5"/>
    <w:rsid w:val="329E6876"/>
    <w:rsid w:val="32BA750F"/>
    <w:rsid w:val="33163F6E"/>
    <w:rsid w:val="333015F2"/>
    <w:rsid w:val="33335644"/>
    <w:rsid w:val="333B777A"/>
    <w:rsid w:val="334B6320"/>
    <w:rsid w:val="33AE06F6"/>
    <w:rsid w:val="33C348FE"/>
    <w:rsid w:val="33D740F0"/>
    <w:rsid w:val="33D934D4"/>
    <w:rsid w:val="33FE2F6A"/>
    <w:rsid w:val="340216AB"/>
    <w:rsid w:val="340E07E5"/>
    <w:rsid w:val="34235BF7"/>
    <w:rsid w:val="350667B3"/>
    <w:rsid w:val="3518051D"/>
    <w:rsid w:val="35633E8E"/>
    <w:rsid w:val="35860CBB"/>
    <w:rsid w:val="35887450"/>
    <w:rsid w:val="358C5FA8"/>
    <w:rsid w:val="35C15DF1"/>
    <w:rsid w:val="36074A7F"/>
    <w:rsid w:val="3612197B"/>
    <w:rsid w:val="36923549"/>
    <w:rsid w:val="36996027"/>
    <w:rsid w:val="36B75FBF"/>
    <w:rsid w:val="36BD0C45"/>
    <w:rsid w:val="36DB4D0F"/>
    <w:rsid w:val="37B74CBE"/>
    <w:rsid w:val="37E00298"/>
    <w:rsid w:val="381256F7"/>
    <w:rsid w:val="386D6DD1"/>
    <w:rsid w:val="388A212E"/>
    <w:rsid w:val="388F7868"/>
    <w:rsid w:val="38912AC0"/>
    <w:rsid w:val="389E51DD"/>
    <w:rsid w:val="38B302F9"/>
    <w:rsid w:val="38D210E2"/>
    <w:rsid w:val="38F12CD3"/>
    <w:rsid w:val="38F94775"/>
    <w:rsid w:val="390A4523"/>
    <w:rsid w:val="392971ED"/>
    <w:rsid w:val="39325651"/>
    <w:rsid w:val="396B533E"/>
    <w:rsid w:val="39972358"/>
    <w:rsid w:val="399D1235"/>
    <w:rsid w:val="39B645E5"/>
    <w:rsid w:val="39C02E1F"/>
    <w:rsid w:val="3A323E2F"/>
    <w:rsid w:val="3A687850"/>
    <w:rsid w:val="3A872856"/>
    <w:rsid w:val="3A9104E9"/>
    <w:rsid w:val="3AB96ECB"/>
    <w:rsid w:val="3AE8273F"/>
    <w:rsid w:val="3AFE1F63"/>
    <w:rsid w:val="3B3763D1"/>
    <w:rsid w:val="3B4C2CCE"/>
    <w:rsid w:val="3B8B1A48"/>
    <w:rsid w:val="3B951034"/>
    <w:rsid w:val="3BC82E15"/>
    <w:rsid w:val="3BDB4052"/>
    <w:rsid w:val="3BF87213"/>
    <w:rsid w:val="3C2F6E1E"/>
    <w:rsid w:val="3C43068A"/>
    <w:rsid w:val="3C447E49"/>
    <w:rsid w:val="3C485B8B"/>
    <w:rsid w:val="3C4F64BA"/>
    <w:rsid w:val="3CA84CC8"/>
    <w:rsid w:val="3CB43221"/>
    <w:rsid w:val="3CD76F0F"/>
    <w:rsid w:val="3CDA245A"/>
    <w:rsid w:val="3D063D36"/>
    <w:rsid w:val="3D1E06B7"/>
    <w:rsid w:val="3D235CB1"/>
    <w:rsid w:val="3D5C4250"/>
    <w:rsid w:val="3DB669EF"/>
    <w:rsid w:val="3DF03B30"/>
    <w:rsid w:val="3DFB537B"/>
    <w:rsid w:val="3E00245E"/>
    <w:rsid w:val="3E0819A1"/>
    <w:rsid w:val="3E5F540E"/>
    <w:rsid w:val="3EDA0523"/>
    <w:rsid w:val="3EED2A1A"/>
    <w:rsid w:val="3F0A2F86"/>
    <w:rsid w:val="3F1E4982"/>
    <w:rsid w:val="3F4A3181"/>
    <w:rsid w:val="3F9B06C8"/>
    <w:rsid w:val="3FB5617C"/>
    <w:rsid w:val="402B1A4C"/>
    <w:rsid w:val="40353AD0"/>
    <w:rsid w:val="403B60B9"/>
    <w:rsid w:val="407A6407"/>
    <w:rsid w:val="4111484F"/>
    <w:rsid w:val="41384420"/>
    <w:rsid w:val="413B181B"/>
    <w:rsid w:val="4200449D"/>
    <w:rsid w:val="423A3BCC"/>
    <w:rsid w:val="424531BE"/>
    <w:rsid w:val="424E57D2"/>
    <w:rsid w:val="42500A1C"/>
    <w:rsid w:val="42B26C49"/>
    <w:rsid w:val="432E715D"/>
    <w:rsid w:val="433A6FE6"/>
    <w:rsid w:val="43480868"/>
    <w:rsid w:val="4350713C"/>
    <w:rsid w:val="436653E0"/>
    <w:rsid w:val="43C4431A"/>
    <w:rsid w:val="44103433"/>
    <w:rsid w:val="44694339"/>
    <w:rsid w:val="44A771EA"/>
    <w:rsid w:val="44B951CC"/>
    <w:rsid w:val="44CD14E0"/>
    <w:rsid w:val="44F20B0B"/>
    <w:rsid w:val="44FB2785"/>
    <w:rsid w:val="452E5F4C"/>
    <w:rsid w:val="45611A6C"/>
    <w:rsid w:val="45612018"/>
    <w:rsid w:val="45673698"/>
    <w:rsid w:val="458946E9"/>
    <w:rsid w:val="45A007E6"/>
    <w:rsid w:val="45A47C0E"/>
    <w:rsid w:val="45C02C36"/>
    <w:rsid w:val="45C53DA9"/>
    <w:rsid w:val="45E520EC"/>
    <w:rsid w:val="46577FD6"/>
    <w:rsid w:val="46D955A7"/>
    <w:rsid w:val="47133957"/>
    <w:rsid w:val="471C5197"/>
    <w:rsid w:val="47264D1B"/>
    <w:rsid w:val="47281E8B"/>
    <w:rsid w:val="4755115C"/>
    <w:rsid w:val="47617B01"/>
    <w:rsid w:val="47694C08"/>
    <w:rsid w:val="47A07E0C"/>
    <w:rsid w:val="4812721D"/>
    <w:rsid w:val="48382F58"/>
    <w:rsid w:val="4867383D"/>
    <w:rsid w:val="4870272E"/>
    <w:rsid w:val="48834AE5"/>
    <w:rsid w:val="489D100D"/>
    <w:rsid w:val="48D2515B"/>
    <w:rsid w:val="48D84455"/>
    <w:rsid w:val="48DF7080"/>
    <w:rsid w:val="491523B9"/>
    <w:rsid w:val="491F05C3"/>
    <w:rsid w:val="493556E9"/>
    <w:rsid w:val="49887D00"/>
    <w:rsid w:val="49AF724A"/>
    <w:rsid w:val="49D2773F"/>
    <w:rsid w:val="49D879D2"/>
    <w:rsid w:val="49DC7715"/>
    <w:rsid w:val="49EF3AEA"/>
    <w:rsid w:val="4A023139"/>
    <w:rsid w:val="4A7B576F"/>
    <w:rsid w:val="4AA5064D"/>
    <w:rsid w:val="4AD827D0"/>
    <w:rsid w:val="4AE7040C"/>
    <w:rsid w:val="4AF561A9"/>
    <w:rsid w:val="4B7252B0"/>
    <w:rsid w:val="4BA44460"/>
    <w:rsid w:val="4C1B2975"/>
    <w:rsid w:val="4C4A0649"/>
    <w:rsid w:val="4C4F1E34"/>
    <w:rsid w:val="4C7E5ECA"/>
    <w:rsid w:val="4C876AA5"/>
    <w:rsid w:val="4CA26BF2"/>
    <w:rsid w:val="4CC0735A"/>
    <w:rsid w:val="4CC663B8"/>
    <w:rsid w:val="4D0E00FB"/>
    <w:rsid w:val="4D176606"/>
    <w:rsid w:val="4D6D4A72"/>
    <w:rsid w:val="4D7367E0"/>
    <w:rsid w:val="4D82719F"/>
    <w:rsid w:val="4DEC4FB0"/>
    <w:rsid w:val="4E075D8A"/>
    <w:rsid w:val="4E3A4F51"/>
    <w:rsid w:val="4E75016C"/>
    <w:rsid w:val="4EAD1B4A"/>
    <w:rsid w:val="4EC00FAD"/>
    <w:rsid w:val="4EF6465B"/>
    <w:rsid w:val="4F343D4D"/>
    <w:rsid w:val="4F493C9D"/>
    <w:rsid w:val="4F672375"/>
    <w:rsid w:val="4F9843DC"/>
    <w:rsid w:val="4FC24FED"/>
    <w:rsid w:val="4FC62A8C"/>
    <w:rsid w:val="4FE20F0D"/>
    <w:rsid w:val="4FE51552"/>
    <w:rsid w:val="501E6EF3"/>
    <w:rsid w:val="504E4B13"/>
    <w:rsid w:val="50504C4B"/>
    <w:rsid w:val="50937498"/>
    <w:rsid w:val="509C6E7C"/>
    <w:rsid w:val="50BB64D4"/>
    <w:rsid w:val="50C35389"/>
    <w:rsid w:val="50F11EF6"/>
    <w:rsid w:val="510C31D4"/>
    <w:rsid w:val="512D6CA6"/>
    <w:rsid w:val="5162104E"/>
    <w:rsid w:val="51735001"/>
    <w:rsid w:val="51DB0CC2"/>
    <w:rsid w:val="52152393"/>
    <w:rsid w:val="5224454D"/>
    <w:rsid w:val="527E1EAF"/>
    <w:rsid w:val="529918B6"/>
    <w:rsid w:val="52D221F1"/>
    <w:rsid w:val="532F4F57"/>
    <w:rsid w:val="53A039CC"/>
    <w:rsid w:val="53A1505A"/>
    <w:rsid w:val="53AA6D84"/>
    <w:rsid w:val="53EB72B9"/>
    <w:rsid w:val="53F24654"/>
    <w:rsid w:val="54063E08"/>
    <w:rsid w:val="543437E8"/>
    <w:rsid w:val="54462559"/>
    <w:rsid w:val="54726F7A"/>
    <w:rsid w:val="54B0268D"/>
    <w:rsid w:val="54F73313"/>
    <w:rsid w:val="54F80955"/>
    <w:rsid w:val="5516017D"/>
    <w:rsid w:val="555170A7"/>
    <w:rsid w:val="557401FE"/>
    <w:rsid w:val="5587536D"/>
    <w:rsid w:val="558E2409"/>
    <w:rsid w:val="559B174B"/>
    <w:rsid w:val="55A439DB"/>
    <w:rsid w:val="55AA2FBB"/>
    <w:rsid w:val="55CE0CF4"/>
    <w:rsid w:val="560644C2"/>
    <w:rsid w:val="561A3956"/>
    <w:rsid w:val="56A33C92"/>
    <w:rsid w:val="56A45C5C"/>
    <w:rsid w:val="56B22A9C"/>
    <w:rsid w:val="56B90D23"/>
    <w:rsid w:val="56C20F58"/>
    <w:rsid w:val="57763155"/>
    <w:rsid w:val="578515EA"/>
    <w:rsid w:val="57967C7A"/>
    <w:rsid w:val="57B72A76"/>
    <w:rsid w:val="57BD5228"/>
    <w:rsid w:val="57C3426C"/>
    <w:rsid w:val="57CE1F93"/>
    <w:rsid w:val="57D4238E"/>
    <w:rsid w:val="580D02B6"/>
    <w:rsid w:val="586D5EBB"/>
    <w:rsid w:val="588743D1"/>
    <w:rsid w:val="5887701A"/>
    <w:rsid w:val="58CD4FF7"/>
    <w:rsid w:val="58FE1654"/>
    <w:rsid w:val="5943350B"/>
    <w:rsid w:val="598E0508"/>
    <w:rsid w:val="599D70BF"/>
    <w:rsid w:val="59C0439F"/>
    <w:rsid w:val="59C1423F"/>
    <w:rsid w:val="59C85E32"/>
    <w:rsid w:val="59D80FE8"/>
    <w:rsid w:val="5A5C0D28"/>
    <w:rsid w:val="5A5F6122"/>
    <w:rsid w:val="5A854D8F"/>
    <w:rsid w:val="5AA224B3"/>
    <w:rsid w:val="5AAB580B"/>
    <w:rsid w:val="5ABE2233"/>
    <w:rsid w:val="5B136F0D"/>
    <w:rsid w:val="5B395B37"/>
    <w:rsid w:val="5B4936D6"/>
    <w:rsid w:val="5BA81D4B"/>
    <w:rsid w:val="5BA92A7F"/>
    <w:rsid w:val="5BB22BCA"/>
    <w:rsid w:val="5BCE6C5E"/>
    <w:rsid w:val="5BDF5D95"/>
    <w:rsid w:val="5BE53961"/>
    <w:rsid w:val="5BFE7528"/>
    <w:rsid w:val="5C007491"/>
    <w:rsid w:val="5C0D1BAE"/>
    <w:rsid w:val="5C471564"/>
    <w:rsid w:val="5C4750C0"/>
    <w:rsid w:val="5D007C7D"/>
    <w:rsid w:val="5D543F38"/>
    <w:rsid w:val="5D9E6676"/>
    <w:rsid w:val="5DA64068"/>
    <w:rsid w:val="5DC360BE"/>
    <w:rsid w:val="5E2467F1"/>
    <w:rsid w:val="5E4775F9"/>
    <w:rsid w:val="5E954808"/>
    <w:rsid w:val="5F045E54"/>
    <w:rsid w:val="5F1934F0"/>
    <w:rsid w:val="5F1A2B43"/>
    <w:rsid w:val="5F2B0CC9"/>
    <w:rsid w:val="5F7C219E"/>
    <w:rsid w:val="5FA6273F"/>
    <w:rsid w:val="5FB837BB"/>
    <w:rsid w:val="609E1F3B"/>
    <w:rsid w:val="60AE7935"/>
    <w:rsid w:val="60B53A52"/>
    <w:rsid w:val="60CC405A"/>
    <w:rsid w:val="60D63AFB"/>
    <w:rsid w:val="612C0D28"/>
    <w:rsid w:val="61354081"/>
    <w:rsid w:val="614079B7"/>
    <w:rsid w:val="616B7AA3"/>
    <w:rsid w:val="61E215D8"/>
    <w:rsid w:val="61EF4230"/>
    <w:rsid w:val="61FA188C"/>
    <w:rsid w:val="621B3775"/>
    <w:rsid w:val="62364782"/>
    <w:rsid w:val="624D0F56"/>
    <w:rsid w:val="625C563D"/>
    <w:rsid w:val="6277565D"/>
    <w:rsid w:val="627B4304"/>
    <w:rsid w:val="6280132C"/>
    <w:rsid w:val="63293771"/>
    <w:rsid w:val="63352116"/>
    <w:rsid w:val="636D772A"/>
    <w:rsid w:val="6394356A"/>
    <w:rsid w:val="63B3128D"/>
    <w:rsid w:val="63C61B2C"/>
    <w:rsid w:val="63D40BE9"/>
    <w:rsid w:val="63E93A7A"/>
    <w:rsid w:val="63F773CC"/>
    <w:rsid w:val="64102431"/>
    <w:rsid w:val="64607667"/>
    <w:rsid w:val="647E5D3F"/>
    <w:rsid w:val="647E7AED"/>
    <w:rsid w:val="649E0921"/>
    <w:rsid w:val="64A5243A"/>
    <w:rsid w:val="64B61035"/>
    <w:rsid w:val="64F531DE"/>
    <w:rsid w:val="65373578"/>
    <w:rsid w:val="659D3FA3"/>
    <w:rsid w:val="65DC6A99"/>
    <w:rsid w:val="660B3602"/>
    <w:rsid w:val="660B715E"/>
    <w:rsid w:val="66342B59"/>
    <w:rsid w:val="667E3DD4"/>
    <w:rsid w:val="66A575B3"/>
    <w:rsid w:val="66C5206F"/>
    <w:rsid w:val="671F124A"/>
    <w:rsid w:val="674175E4"/>
    <w:rsid w:val="676E3E49"/>
    <w:rsid w:val="677A33C6"/>
    <w:rsid w:val="677C2577"/>
    <w:rsid w:val="67824862"/>
    <w:rsid w:val="67825B46"/>
    <w:rsid w:val="67A41618"/>
    <w:rsid w:val="67B66043"/>
    <w:rsid w:val="67B6759E"/>
    <w:rsid w:val="67BA0E3C"/>
    <w:rsid w:val="681F6961"/>
    <w:rsid w:val="68460921"/>
    <w:rsid w:val="68534DEC"/>
    <w:rsid w:val="68610A2F"/>
    <w:rsid w:val="68805514"/>
    <w:rsid w:val="688431F8"/>
    <w:rsid w:val="68A11FFC"/>
    <w:rsid w:val="68CA77A4"/>
    <w:rsid w:val="68DB550E"/>
    <w:rsid w:val="69316E2F"/>
    <w:rsid w:val="694E2071"/>
    <w:rsid w:val="69766163"/>
    <w:rsid w:val="69791212"/>
    <w:rsid w:val="697A3B33"/>
    <w:rsid w:val="69D44760"/>
    <w:rsid w:val="69DA51E6"/>
    <w:rsid w:val="6A310DC4"/>
    <w:rsid w:val="6A520EC7"/>
    <w:rsid w:val="6A7F1D30"/>
    <w:rsid w:val="6AC975E8"/>
    <w:rsid w:val="6ACF6B9E"/>
    <w:rsid w:val="6AEB3A02"/>
    <w:rsid w:val="6AF87E20"/>
    <w:rsid w:val="6B023882"/>
    <w:rsid w:val="6B0D5727"/>
    <w:rsid w:val="6B286A04"/>
    <w:rsid w:val="6B322639"/>
    <w:rsid w:val="6B393506"/>
    <w:rsid w:val="6BA818A5"/>
    <w:rsid w:val="6BEB1F0C"/>
    <w:rsid w:val="6BFA4EC3"/>
    <w:rsid w:val="6C14148D"/>
    <w:rsid w:val="6C4E5FF7"/>
    <w:rsid w:val="6C636C38"/>
    <w:rsid w:val="6C663340"/>
    <w:rsid w:val="6CB22A29"/>
    <w:rsid w:val="6D107750"/>
    <w:rsid w:val="6D855A48"/>
    <w:rsid w:val="6D8F68C7"/>
    <w:rsid w:val="6DB34098"/>
    <w:rsid w:val="6DB545B6"/>
    <w:rsid w:val="6DCF13B9"/>
    <w:rsid w:val="6DE02FB4"/>
    <w:rsid w:val="6DE704B1"/>
    <w:rsid w:val="6DEC5AC7"/>
    <w:rsid w:val="6E514CED"/>
    <w:rsid w:val="6E6E472E"/>
    <w:rsid w:val="6EB563D5"/>
    <w:rsid w:val="6ED92677"/>
    <w:rsid w:val="6EDF73DA"/>
    <w:rsid w:val="6EE80984"/>
    <w:rsid w:val="6F174E77"/>
    <w:rsid w:val="6F225983"/>
    <w:rsid w:val="6F26325B"/>
    <w:rsid w:val="6FF00FE8"/>
    <w:rsid w:val="6FFC5590"/>
    <w:rsid w:val="706D1DD0"/>
    <w:rsid w:val="70856B87"/>
    <w:rsid w:val="70A628A5"/>
    <w:rsid w:val="70D527EE"/>
    <w:rsid w:val="71017ADB"/>
    <w:rsid w:val="710514B1"/>
    <w:rsid w:val="710C68AA"/>
    <w:rsid w:val="71265794"/>
    <w:rsid w:val="713E2B8A"/>
    <w:rsid w:val="715B5300"/>
    <w:rsid w:val="71802656"/>
    <w:rsid w:val="71CC3C20"/>
    <w:rsid w:val="71D27F8A"/>
    <w:rsid w:val="720974D8"/>
    <w:rsid w:val="725105EF"/>
    <w:rsid w:val="72553024"/>
    <w:rsid w:val="725620A9"/>
    <w:rsid w:val="726C3E02"/>
    <w:rsid w:val="72A222F6"/>
    <w:rsid w:val="72D920E2"/>
    <w:rsid w:val="73013662"/>
    <w:rsid w:val="73116E3A"/>
    <w:rsid w:val="73122968"/>
    <w:rsid w:val="731F5D5E"/>
    <w:rsid w:val="737A1DC7"/>
    <w:rsid w:val="738531BD"/>
    <w:rsid w:val="73A55AC9"/>
    <w:rsid w:val="73C51AD5"/>
    <w:rsid w:val="740611E4"/>
    <w:rsid w:val="741E793C"/>
    <w:rsid w:val="745E3944"/>
    <w:rsid w:val="7521699E"/>
    <w:rsid w:val="753A7A60"/>
    <w:rsid w:val="754A398B"/>
    <w:rsid w:val="755539A3"/>
    <w:rsid w:val="755C0331"/>
    <w:rsid w:val="757A7E5C"/>
    <w:rsid w:val="759524BE"/>
    <w:rsid w:val="762229CE"/>
    <w:rsid w:val="7635099D"/>
    <w:rsid w:val="76515061"/>
    <w:rsid w:val="76627434"/>
    <w:rsid w:val="76E47C83"/>
    <w:rsid w:val="76FF686B"/>
    <w:rsid w:val="771340C5"/>
    <w:rsid w:val="77762421"/>
    <w:rsid w:val="77A2369A"/>
    <w:rsid w:val="77B56B1F"/>
    <w:rsid w:val="77B60CFF"/>
    <w:rsid w:val="77C16217"/>
    <w:rsid w:val="780F09F4"/>
    <w:rsid w:val="78A3591C"/>
    <w:rsid w:val="78A90480"/>
    <w:rsid w:val="78DD498A"/>
    <w:rsid w:val="78E33F6B"/>
    <w:rsid w:val="79053EE1"/>
    <w:rsid w:val="79440EAD"/>
    <w:rsid w:val="79FE5C59"/>
    <w:rsid w:val="7A0B3779"/>
    <w:rsid w:val="7A364017"/>
    <w:rsid w:val="7A5E5F9F"/>
    <w:rsid w:val="7A7F1A71"/>
    <w:rsid w:val="7A8265E1"/>
    <w:rsid w:val="7ACF29F8"/>
    <w:rsid w:val="7AE25E5C"/>
    <w:rsid w:val="7B11280E"/>
    <w:rsid w:val="7B474C85"/>
    <w:rsid w:val="7B476A33"/>
    <w:rsid w:val="7B677A3B"/>
    <w:rsid w:val="7B686D42"/>
    <w:rsid w:val="7B841746"/>
    <w:rsid w:val="7BBF2FC2"/>
    <w:rsid w:val="7BE129E3"/>
    <w:rsid w:val="7BFA3AA5"/>
    <w:rsid w:val="7C2E19A1"/>
    <w:rsid w:val="7C6C5AC7"/>
    <w:rsid w:val="7CC6544B"/>
    <w:rsid w:val="7CEA3B1A"/>
    <w:rsid w:val="7CF14EA8"/>
    <w:rsid w:val="7D0239FF"/>
    <w:rsid w:val="7D0D7808"/>
    <w:rsid w:val="7D397F90"/>
    <w:rsid w:val="7D5E40CD"/>
    <w:rsid w:val="7DCD56F2"/>
    <w:rsid w:val="7E10135E"/>
    <w:rsid w:val="7E3E5A94"/>
    <w:rsid w:val="7E412015"/>
    <w:rsid w:val="7EB24D50"/>
    <w:rsid w:val="7F001CE7"/>
    <w:rsid w:val="7F0C5FC9"/>
    <w:rsid w:val="7F1133AE"/>
    <w:rsid w:val="7F5E259D"/>
    <w:rsid w:val="7FE47E50"/>
    <w:rsid w:val="7FF5783B"/>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iPriority="0" w:semiHidden="0" w:name="heading 2" w:locked="1"/>
    <w:lsdException w:qFormat="1" w:uiPriority="0" w:semiHidden="0" w:name="heading 3" w:locked="1"/>
    <w:lsdException w:qFormat="1"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99" w:semiHidden="0" w:name="header"/>
    <w:lsdException w:qFormat="1" w:unhideWhenUsed="0" w:uiPriority="99" w:semiHidden="0" w:name="footer"/>
    <w:lsdException w:unhideWhenUsed="0"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unhideWhenUsed="0" w:uiPriority="0" w:semiHidden="0" w:name="Salutation" w:locked="1"/>
    <w:lsdException w:qFormat="1" w:unhideWhenUsed="0" w:uiPriority="0" w:semiHidden="0" w:name="Date"/>
    <w:lsdException w:unhideWhenUsed="0" w:uiPriority="0" w:semiHidden="0" w:name="Body Text First Indent" w:locked="1"/>
    <w:lsdException w:qFormat="1" w:unhideWhenUsed="0"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unhideWhenUsed="0" w:uiPriority="0" w:semiHidden="0" w:name="Body Text Indent 2" w:locked="1"/>
    <w:lsdException w:unhideWhenUsed="0" w:uiPriority="0" w:semiHidden="0" w:name="Body Text Indent 3" w:locked="1"/>
    <w:lsdException w:unhideWhenUsed="0" w:uiPriority="0" w:semiHidden="0" w:name="Block Text" w:locked="1"/>
    <w:lsdException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99"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nhideWhenUsed="0" w:uiPriority="0"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3">
    <w:name w:val="heading 2"/>
    <w:basedOn w:val="1"/>
    <w:next w:val="1"/>
    <w:link w:val="23"/>
    <w:unhideWhenUsed/>
    <w:qFormat/>
    <w:locked/>
    <w:uiPriority w:val="0"/>
    <w:pPr>
      <w:keepNext/>
      <w:keepLines/>
      <w:spacing w:before="260" w:after="260" w:line="416" w:lineRule="auto"/>
      <w:outlineLvl w:val="1"/>
    </w:pPr>
    <w:rPr>
      <w:rFonts w:ascii="等线 Light" w:hAnsi="等线 Light" w:eastAsia="等线 Light" w:cs="Times New Roman"/>
      <w:b/>
      <w:bCs/>
      <w:sz w:val="32"/>
      <w:szCs w:val="32"/>
    </w:rPr>
  </w:style>
  <w:style w:type="paragraph" w:styleId="4">
    <w:name w:val="heading 3"/>
    <w:basedOn w:val="1"/>
    <w:next w:val="1"/>
    <w:link w:val="24"/>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25"/>
    <w:unhideWhenUsed/>
    <w:qFormat/>
    <w:locked/>
    <w:uiPriority w:val="0"/>
    <w:pPr>
      <w:keepNext/>
      <w:keepLines/>
      <w:spacing w:before="280" w:after="290" w:line="376" w:lineRule="auto"/>
      <w:outlineLvl w:val="3"/>
    </w:pPr>
    <w:rPr>
      <w:rFonts w:ascii="等线 Light" w:hAnsi="等线 Light" w:eastAsia="等线 Light" w:cs="Times New Roman"/>
      <w:b/>
      <w:bCs/>
      <w:sz w:val="28"/>
      <w:szCs w:val="28"/>
    </w:rPr>
  </w:style>
  <w:style w:type="character" w:default="1" w:styleId="20">
    <w:name w:val="Default Paragraph Font"/>
    <w:semiHidden/>
    <w:qFormat/>
    <w:uiPriority w:val="0"/>
  </w:style>
  <w:style w:type="table" w:default="1" w:styleId="18">
    <w:name w:val="Normal Table"/>
    <w:semiHidden/>
    <w:qFormat/>
    <w:uiPriority w:val="0"/>
    <w:tblPr>
      <w:tblCellMar>
        <w:top w:w="0" w:type="dxa"/>
        <w:left w:w="108" w:type="dxa"/>
        <w:bottom w:w="0" w:type="dxa"/>
        <w:right w:w="108" w:type="dxa"/>
      </w:tblCellMar>
    </w:tblPr>
  </w:style>
  <w:style w:type="paragraph" w:styleId="6">
    <w:name w:val="Normal Indent"/>
    <w:basedOn w:val="1"/>
    <w:next w:val="1"/>
    <w:link w:val="26"/>
    <w:qFormat/>
    <w:locked/>
    <w:uiPriority w:val="0"/>
    <w:pPr>
      <w:ind w:firstLine="420" w:firstLineChars="200"/>
    </w:pPr>
    <w:rPr>
      <w:kern w:val="0"/>
      <w:sz w:val="20"/>
      <w:szCs w:val="20"/>
    </w:rPr>
  </w:style>
  <w:style w:type="paragraph" w:styleId="7">
    <w:name w:val="annotation text"/>
    <w:basedOn w:val="1"/>
    <w:link w:val="27"/>
    <w:semiHidden/>
    <w:qFormat/>
    <w:uiPriority w:val="0"/>
    <w:pPr>
      <w:jc w:val="left"/>
    </w:pPr>
    <w:rPr>
      <w:kern w:val="0"/>
      <w:sz w:val="24"/>
      <w:szCs w:val="20"/>
    </w:rPr>
  </w:style>
  <w:style w:type="paragraph" w:styleId="8">
    <w:name w:val="Body Text"/>
    <w:basedOn w:val="1"/>
    <w:link w:val="28"/>
    <w:qFormat/>
    <w:uiPriority w:val="0"/>
    <w:pPr>
      <w:widowControl/>
      <w:snapToGrid w:val="0"/>
      <w:spacing w:before="60" w:after="160" w:line="259" w:lineRule="auto"/>
      <w:ind w:right="113"/>
    </w:pPr>
    <w:rPr>
      <w:kern w:val="0"/>
      <w:sz w:val="18"/>
      <w:szCs w:val="20"/>
    </w:rPr>
  </w:style>
  <w:style w:type="paragraph" w:styleId="9">
    <w:name w:val="Body Text Indent"/>
    <w:basedOn w:val="1"/>
    <w:link w:val="29"/>
    <w:qFormat/>
    <w:uiPriority w:val="0"/>
    <w:pPr>
      <w:spacing w:after="120"/>
      <w:ind w:left="420" w:leftChars="200"/>
    </w:pPr>
    <w:rPr>
      <w:kern w:val="0"/>
      <w:sz w:val="24"/>
      <w:szCs w:val="20"/>
    </w:rPr>
  </w:style>
  <w:style w:type="paragraph" w:styleId="10">
    <w:name w:val="Plain Text"/>
    <w:basedOn w:val="1"/>
    <w:qFormat/>
    <w:locked/>
    <w:uiPriority w:val="0"/>
    <w:rPr>
      <w:rFonts w:ascii="宋体" w:hAnsi="Courier New"/>
    </w:rPr>
  </w:style>
  <w:style w:type="paragraph" w:styleId="11">
    <w:name w:val="Date"/>
    <w:basedOn w:val="1"/>
    <w:next w:val="1"/>
    <w:link w:val="30"/>
    <w:qFormat/>
    <w:uiPriority w:val="0"/>
    <w:pPr>
      <w:ind w:left="100" w:leftChars="2500"/>
    </w:pPr>
    <w:rPr>
      <w:kern w:val="0"/>
      <w:sz w:val="24"/>
      <w:szCs w:val="20"/>
    </w:rPr>
  </w:style>
  <w:style w:type="paragraph" w:styleId="12">
    <w:name w:val="Balloon Text"/>
    <w:basedOn w:val="1"/>
    <w:link w:val="31"/>
    <w:semiHidden/>
    <w:qFormat/>
    <w:uiPriority w:val="0"/>
    <w:rPr>
      <w:kern w:val="0"/>
      <w:sz w:val="18"/>
      <w:szCs w:val="20"/>
    </w:rPr>
  </w:style>
  <w:style w:type="paragraph" w:styleId="13">
    <w:name w:val="footer"/>
    <w:basedOn w:val="1"/>
    <w:link w:val="32"/>
    <w:qFormat/>
    <w:uiPriority w:val="99"/>
    <w:pPr>
      <w:tabs>
        <w:tab w:val="center" w:pos="4153"/>
        <w:tab w:val="right" w:pos="8306"/>
      </w:tabs>
      <w:snapToGrid w:val="0"/>
      <w:jc w:val="left"/>
    </w:pPr>
    <w:rPr>
      <w:kern w:val="0"/>
      <w:sz w:val="18"/>
      <w:szCs w:val="20"/>
    </w:rPr>
  </w:style>
  <w:style w:type="paragraph" w:styleId="14">
    <w:name w:val="header"/>
    <w:basedOn w:val="1"/>
    <w:link w:val="33"/>
    <w:qFormat/>
    <w:uiPriority w:val="99"/>
    <w:pPr>
      <w:pBdr>
        <w:bottom w:val="single" w:color="auto" w:sz="6" w:space="1"/>
      </w:pBdr>
      <w:tabs>
        <w:tab w:val="center" w:pos="4153"/>
        <w:tab w:val="right" w:pos="8306"/>
      </w:tabs>
      <w:snapToGrid w:val="0"/>
      <w:jc w:val="center"/>
    </w:pPr>
    <w:rPr>
      <w:kern w:val="0"/>
      <w:sz w:val="18"/>
      <w:szCs w:val="20"/>
    </w:rPr>
  </w:style>
  <w:style w:type="paragraph" w:styleId="15">
    <w:name w:val="Normal (Web)"/>
    <w:basedOn w:val="1"/>
    <w:link w:val="34"/>
    <w:qFormat/>
    <w:uiPriority w:val="99"/>
    <w:pPr>
      <w:widowControl/>
      <w:spacing w:before="100" w:beforeAutospacing="1" w:after="100" w:afterAutospacing="1"/>
      <w:jc w:val="left"/>
    </w:pPr>
    <w:rPr>
      <w:rFonts w:ascii="宋体" w:hAnsi="宋体"/>
      <w:kern w:val="0"/>
      <w:sz w:val="24"/>
      <w:szCs w:val="20"/>
    </w:rPr>
  </w:style>
  <w:style w:type="paragraph" w:styleId="16">
    <w:name w:val="annotation subject"/>
    <w:basedOn w:val="7"/>
    <w:next w:val="7"/>
    <w:link w:val="35"/>
    <w:semiHidden/>
    <w:qFormat/>
    <w:uiPriority w:val="0"/>
    <w:rPr>
      <w:b/>
      <w:sz w:val="24"/>
      <w:szCs w:val="20"/>
    </w:rPr>
  </w:style>
  <w:style w:type="paragraph" w:styleId="17">
    <w:name w:val="Body Text First Indent 2"/>
    <w:basedOn w:val="9"/>
    <w:link w:val="36"/>
    <w:qFormat/>
    <w:locked/>
    <w:uiPriority w:val="0"/>
    <w:pPr>
      <w:ind w:firstLine="420" w:firstLineChars="200"/>
    </w:pPr>
    <w:rPr>
      <w:kern w:val="2"/>
      <w:sz w:val="21"/>
      <w:szCs w:val="24"/>
    </w:rPr>
  </w:style>
  <w:style w:type="table" w:styleId="19">
    <w:name w:val="Table Grid"/>
    <w:basedOn w:val="18"/>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1">
    <w:name w:val="page number"/>
    <w:basedOn w:val="20"/>
    <w:qFormat/>
    <w:locked/>
    <w:uiPriority w:val="0"/>
  </w:style>
  <w:style w:type="character" w:styleId="22">
    <w:name w:val="annotation reference"/>
    <w:semiHidden/>
    <w:qFormat/>
    <w:uiPriority w:val="0"/>
    <w:rPr>
      <w:sz w:val="21"/>
    </w:rPr>
  </w:style>
  <w:style w:type="character" w:customStyle="1" w:styleId="23">
    <w:name w:val="标题 2 字符"/>
    <w:link w:val="3"/>
    <w:qFormat/>
    <w:uiPriority w:val="0"/>
    <w:rPr>
      <w:rFonts w:ascii="等线 Light" w:hAnsi="等线 Light" w:eastAsia="等线 Light" w:cs="Times New Roman"/>
      <w:b/>
      <w:bCs/>
      <w:kern w:val="2"/>
      <w:sz w:val="32"/>
      <w:szCs w:val="32"/>
    </w:rPr>
  </w:style>
  <w:style w:type="character" w:customStyle="1" w:styleId="24">
    <w:name w:val="标题 3 字符"/>
    <w:link w:val="4"/>
    <w:semiHidden/>
    <w:qFormat/>
    <w:uiPriority w:val="0"/>
    <w:rPr>
      <w:b/>
      <w:bCs/>
      <w:kern w:val="2"/>
      <w:sz w:val="32"/>
      <w:szCs w:val="32"/>
    </w:rPr>
  </w:style>
  <w:style w:type="character" w:customStyle="1" w:styleId="25">
    <w:name w:val="标题 4 字符"/>
    <w:link w:val="5"/>
    <w:semiHidden/>
    <w:qFormat/>
    <w:uiPriority w:val="0"/>
    <w:rPr>
      <w:rFonts w:ascii="等线 Light" w:hAnsi="等线 Light" w:eastAsia="等线 Light" w:cs="Times New Roman"/>
      <w:b/>
      <w:bCs/>
      <w:kern w:val="2"/>
      <w:sz w:val="28"/>
      <w:szCs w:val="28"/>
    </w:rPr>
  </w:style>
  <w:style w:type="character" w:customStyle="1" w:styleId="26">
    <w:name w:val="正文缩进 字符"/>
    <w:link w:val="6"/>
    <w:qFormat/>
    <w:uiPriority w:val="0"/>
  </w:style>
  <w:style w:type="character" w:customStyle="1" w:styleId="27">
    <w:name w:val="批注文字 字符"/>
    <w:link w:val="7"/>
    <w:qFormat/>
    <w:locked/>
    <w:uiPriority w:val="0"/>
    <w:rPr>
      <w:rFonts w:ascii="Times New Roman" w:hAnsi="Times New Roman" w:eastAsia="宋体"/>
      <w:sz w:val="24"/>
    </w:rPr>
  </w:style>
  <w:style w:type="character" w:customStyle="1" w:styleId="28">
    <w:name w:val="正文文本 字符"/>
    <w:link w:val="8"/>
    <w:qFormat/>
    <w:locked/>
    <w:uiPriority w:val="0"/>
    <w:rPr>
      <w:sz w:val="18"/>
    </w:rPr>
  </w:style>
  <w:style w:type="character" w:customStyle="1" w:styleId="29">
    <w:name w:val="正文文本缩进 字符"/>
    <w:link w:val="9"/>
    <w:semiHidden/>
    <w:qFormat/>
    <w:locked/>
    <w:uiPriority w:val="0"/>
    <w:rPr>
      <w:rFonts w:ascii="Times New Roman" w:hAnsi="Times New Roman" w:eastAsia="宋体"/>
      <w:sz w:val="24"/>
    </w:rPr>
  </w:style>
  <w:style w:type="character" w:customStyle="1" w:styleId="30">
    <w:name w:val="日期 字符1"/>
    <w:link w:val="11"/>
    <w:qFormat/>
    <w:locked/>
    <w:uiPriority w:val="0"/>
    <w:rPr>
      <w:rFonts w:ascii="Times New Roman" w:hAnsi="Times New Roman" w:eastAsia="宋体"/>
      <w:sz w:val="24"/>
    </w:rPr>
  </w:style>
  <w:style w:type="character" w:customStyle="1" w:styleId="31">
    <w:name w:val="批注框文本 字符"/>
    <w:link w:val="12"/>
    <w:semiHidden/>
    <w:qFormat/>
    <w:locked/>
    <w:uiPriority w:val="0"/>
    <w:rPr>
      <w:rFonts w:ascii="Times New Roman" w:hAnsi="Times New Roman" w:eastAsia="宋体"/>
      <w:sz w:val="18"/>
    </w:rPr>
  </w:style>
  <w:style w:type="character" w:customStyle="1" w:styleId="32">
    <w:name w:val="页脚 字符1"/>
    <w:link w:val="13"/>
    <w:qFormat/>
    <w:locked/>
    <w:uiPriority w:val="99"/>
    <w:rPr>
      <w:sz w:val="18"/>
    </w:rPr>
  </w:style>
  <w:style w:type="character" w:customStyle="1" w:styleId="33">
    <w:name w:val="页眉 字符"/>
    <w:link w:val="14"/>
    <w:qFormat/>
    <w:locked/>
    <w:uiPriority w:val="99"/>
    <w:rPr>
      <w:sz w:val="18"/>
    </w:rPr>
  </w:style>
  <w:style w:type="character" w:customStyle="1" w:styleId="34">
    <w:name w:val="普通(网站) 字符"/>
    <w:link w:val="15"/>
    <w:qFormat/>
    <w:locked/>
    <w:uiPriority w:val="0"/>
    <w:rPr>
      <w:rFonts w:ascii="宋体" w:hAnsi="宋体" w:eastAsia="宋体"/>
      <w:sz w:val="24"/>
    </w:rPr>
  </w:style>
  <w:style w:type="character" w:customStyle="1" w:styleId="35">
    <w:name w:val="批注主题 字符"/>
    <w:link w:val="16"/>
    <w:semiHidden/>
    <w:qFormat/>
    <w:locked/>
    <w:uiPriority w:val="0"/>
    <w:rPr>
      <w:rFonts w:ascii="Times New Roman" w:hAnsi="Times New Roman" w:eastAsia="宋体"/>
      <w:b/>
      <w:kern w:val="2"/>
      <w:sz w:val="24"/>
    </w:rPr>
  </w:style>
  <w:style w:type="character" w:customStyle="1" w:styleId="36">
    <w:name w:val="正文首行缩进 2 字符"/>
    <w:link w:val="17"/>
    <w:qFormat/>
    <w:uiPriority w:val="0"/>
    <w:rPr>
      <w:rFonts w:ascii="Times New Roman" w:hAnsi="Times New Roman" w:eastAsia="宋体"/>
      <w:kern w:val="2"/>
      <w:sz w:val="21"/>
      <w:szCs w:val="24"/>
    </w:rPr>
  </w:style>
  <w:style w:type="character" w:customStyle="1" w:styleId="37">
    <w:name w:val="页脚 字符"/>
    <w:basedOn w:val="20"/>
    <w:qFormat/>
    <w:uiPriority w:val="99"/>
  </w:style>
  <w:style w:type="character" w:customStyle="1" w:styleId="38">
    <w:name w:val="正文文本 字符1"/>
    <w:semiHidden/>
    <w:qFormat/>
    <w:uiPriority w:val="0"/>
    <w:rPr>
      <w:rFonts w:ascii="Times New Roman" w:hAnsi="Times New Roman" w:eastAsia="宋体"/>
      <w:sz w:val="24"/>
    </w:rPr>
  </w:style>
  <w:style w:type="character" w:customStyle="1" w:styleId="39">
    <w:name w:val="表格 Char"/>
    <w:link w:val="40"/>
    <w:qFormat/>
    <w:locked/>
    <w:uiPriority w:val="0"/>
    <w:rPr>
      <w:rFonts w:ascii="宋体"/>
      <w:sz w:val="21"/>
    </w:rPr>
  </w:style>
  <w:style w:type="paragraph" w:customStyle="1" w:styleId="40">
    <w:name w:val="表格"/>
    <w:basedOn w:val="1"/>
    <w:next w:val="1"/>
    <w:link w:val="39"/>
    <w:qFormat/>
    <w:uiPriority w:val="0"/>
    <w:pPr>
      <w:adjustRightInd w:val="0"/>
      <w:snapToGrid w:val="0"/>
      <w:spacing w:beforeLines="10" w:afterLines="10" w:line="259" w:lineRule="auto"/>
      <w:jc w:val="center"/>
    </w:pPr>
    <w:rPr>
      <w:rFonts w:ascii="宋体"/>
      <w:kern w:val="0"/>
      <w:szCs w:val="20"/>
    </w:rPr>
  </w:style>
  <w:style w:type="character" w:customStyle="1" w:styleId="41">
    <w:name w:val="日期 字符"/>
    <w:semiHidden/>
    <w:qFormat/>
    <w:uiPriority w:val="0"/>
    <w:rPr>
      <w:rFonts w:ascii="Times New Roman" w:hAnsi="Times New Roman" w:eastAsia="宋体"/>
      <w:sz w:val="24"/>
    </w:rPr>
  </w:style>
  <w:style w:type="character" w:customStyle="1" w:styleId="42">
    <w:name w:val="批注文字 字符1"/>
    <w:semiHidden/>
    <w:qFormat/>
    <w:uiPriority w:val="0"/>
    <w:rPr>
      <w:rFonts w:ascii="Times New Roman" w:hAnsi="Times New Roman" w:eastAsia="宋体"/>
      <w:sz w:val="24"/>
    </w:rPr>
  </w:style>
  <w:style w:type="paragraph" w:customStyle="1" w:styleId="43">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44">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45">
    <w:name w:val="表格文字"/>
    <w:basedOn w:val="1"/>
    <w:link w:val="46"/>
    <w:qFormat/>
    <w:uiPriority w:val="99"/>
    <w:pPr>
      <w:jc w:val="center"/>
    </w:pPr>
    <w:rPr>
      <w:rFonts w:ascii="仿宋_GB2312" w:hAnsi="Arial Black" w:eastAsia="仿宋_GB2312"/>
      <w:kern w:val="44"/>
      <w:sz w:val="24"/>
    </w:rPr>
  </w:style>
  <w:style w:type="character" w:customStyle="1" w:styleId="46">
    <w:name w:val="表格文字 Char Char"/>
    <w:link w:val="45"/>
    <w:qFormat/>
    <w:uiPriority w:val="99"/>
    <w:rPr>
      <w:rFonts w:ascii="仿宋_GB2312" w:hAnsi="Arial Black" w:eastAsia="仿宋_GB2312"/>
      <w:kern w:val="44"/>
      <w:sz w:val="24"/>
      <w:szCs w:val="24"/>
    </w:rPr>
  </w:style>
  <w:style w:type="paragraph" w:customStyle="1" w:styleId="47">
    <w:name w:val="Default"/>
    <w:basedOn w:val="48"/>
    <w:next w:val="1"/>
    <w:qFormat/>
    <w:uiPriority w:val="0"/>
    <w:pPr>
      <w:widowControl w:val="0"/>
      <w:autoSpaceDE w:val="0"/>
      <w:autoSpaceDN w:val="0"/>
      <w:adjustRightInd w:val="0"/>
    </w:pPr>
    <w:rPr>
      <w:color w:val="000000"/>
      <w:sz w:val="24"/>
      <w:szCs w:val="24"/>
      <w:lang w:val="en-US" w:eastAsia="zh-CN" w:bidi="ar-SA"/>
    </w:rPr>
  </w:style>
  <w:style w:type="paragraph" w:customStyle="1" w:styleId="48">
    <w:name w:val="标题 段落4级"/>
    <w:qFormat/>
    <w:uiPriority w:val="0"/>
    <w:pPr>
      <w:spacing w:line="500" w:lineRule="exact"/>
      <w:outlineLvl w:val="3"/>
    </w:pPr>
    <w:rPr>
      <w:rFonts w:ascii="Times New Roman" w:hAnsi="Times New Roman" w:eastAsia="仿宋_GB2312" w:cs="Calibri"/>
      <w:b/>
      <w:kern w:val="2"/>
      <w:sz w:val="28"/>
      <w:szCs w:val="24"/>
      <w:lang w:val="en-US" w:eastAsia="zh-CN" w:bidi="ar-SA"/>
    </w:rPr>
  </w:style>
  <w:style w:type="paragraph" w:styleId="49">
    <w:name w:val="No Spacing"/>
    <w:basedOn w:val="1"/>
    <w:qFormat/>
    <w:uiPriority w:val="1"/>
    <w:pPr>
      <w:widowControl/>
      <w:spacing w:line="360" w:lineRule="auto"/>
      <w:jc w:val="center"/>
    </w:pPr>
    <w:rPr>
      <w:rFonts w:eastAsia="黑体"/>
      <w:sz w:val="24"/>
    </w:rPr>
  </w:style>
  <w:style w:type="paragraph" w:customStyle="1" w:styleId="50">
    <w:name w:val="表内 定"/>
    <w:basedOn w:val="1"/>
    <w:link w:val="51"/>
    <w:qFormat/>
    <w:uiPriority w:val="0"/>
    <w:pPr>
      <w:jc w:val="left"/>
    </w:pPr>
    <w:rPr>
      <w:rFonts w:eastAsia="仿宋"/>
      <w:snapToGrid w:val="0"/>
      <w:color w:val="000000"/>
      <w:kern w:val="0"/>
      <w:sz w:val="20"/>
      <w:szCs w:val="22"/>
    </w:rPr>
  </w:style>
  <w:style w:type="character" w:customStyle="1" w:styleId="51">
    <w:name w:val="表内 定 Char"/>
    <w:link w:val="50"/>
    <w:qFormat/>
    <w:uiPriority w:val="0"/>
    <w:rPr>
      <w:rFonts w:eastAsia="仿宋"/>
      <w:snapToGrid/>
      <w:color w:val="000000"/>
      <w:szCs w:val="22"/>
    </w:rPr>
  </w:style>
  <w:style w:type="paragraph" w:customStyle="1" w:styleId="52">
    <w:name w:val="表内"/>
    <w:basedOn w:val="1"/>
    <w:qFormat/>
    <w:uiPriority w:val="99"/>
    <w:pPr>
      <w:framePr w:hSpace="180" w:wrap="around" w:vAnchor="page" w:hAnchor="margin" w:y="1411"/>
      <w:widowControl/>
    </w:pPr>
    <w:rPr>
      <w:rFonts w:ascii="宋体" w:hAnsi="宋体" w:eastAsia="仿宋"/>
      <w:kern w:val="0"/>
      <w:sz w:val="20"/>
      <w:szCs w:val="20"/>
    </w:rPr>
  </w:style>
  <w:style w:type="table" w:customStyle="1" w:styleId="53">
    <w:name w:val="Table Normal"/>
    <w:unhideWhenUsed/>
    <w:qFormat/>
    <w:uiPriority w:val="0"/>
    <w:tblPr>
      <w:tblCellMar>
        <w:top w:w="0" w:type="dxa"/>
        <w:left w:w="0" w:type="dxa"/>
        <w:bottom w:w="0" w:type="dxa"/>
        <w:right w:w="0" w:type="dxa"/>
      </w:tblCellMar>
    </w:tblPr>
  </w:style>
  <w:style w:type="paragraph" w:customStyle="1" w:styleId="54">
    <w:name w:val="样式1"/>
    <w:basedOn w:val="1"/>
    <w:qFormat/>
    <w:uiPriority w:val="0"/>
    <w:rPr>
      <w:szCs w:val="20"/>
      <w:shd w:val="clear" w:color="auto" w:fill="FFFFFF"/>
    </w:rPr>
  </w:style>
  <w:style w:type="paragraph" w:customStyle="1" w:styleId="55">
    <w:name w:val="Table Paragraph"/>
    <w:basedOn w:val="1"/>
    <w:semiHidden/>
    <w:qFormat/>
    <w:uiPriority w:val="99"/>
    <w:pPr>
      <w:widowControl/>
      <w:adjustRightInd/>
      <w:snapToGrid/>
      <w:spacing w:line="240" w:lineRule="auto"/>
      <w:ind w:firstLine="0" w:firstLineChars="0"/>
      <w:jc w:val="left"/>
    </w:pPr>
    <w:rPr>
      <w:rFonts w:ascii="Calibri" w:hAnsi="Calibri" w:cs="宋体"/>
      <w:kern w:val="0"/>
      <w:sz w:val="22"/>
      <w:szCs w:val="22"/>
    </w:rPr>
  </w:style>
  <w:style w:type="paragraph" w:customStyle="1" w:styleId="56">
    <w:name w:val="Table Text"/>
    <w:basedOn w:val="1"/>
    <w:semiHidden/>
    <w:qFormat/>
    <w:uiPriority w:val="0"/>
    <w:rPr>
      <w:rFonts w:ascii="宋体" w:hAnsi="宋体" w:eastAsia="宋体" w:cs="宋体"/>
      <w:sz w:val="24"/>
      <w:szCs w:val="24"/>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4.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numbering" Target="numbering.xml"/><Relationship Id="rId16" Type="http://schemas.openxmlformats.org/officeDocument/2006/relationships/customXml" Target="../customXml/item1.xml"/><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78</Pages>
  <Words>53605</Words>
  <Characters>59665</Characters>
  <Lines>388</Lines>
  <Paragraphs>109</Paragraphs>
  <TotalTime>60</TotalTime>
  <ScaleCrop>false</ScaleCrop>
  <LinksUpToDate>false</LinksUpToDate>
  <CharactersWithSpaces>59964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2020-12-24T01:29:00Z</dcterms:created>
  <dc:creator>lhj</dc:creator>
  <cp:lastModifiedBy>Administrator</cp:lastModifiedBy>
  <cp:lastPrinted>2020-12-29T02:43:00Z</cp:lastPrinted>
  <dcterms:modified xsi:type="dcterms:W3CDTF">2023-11-01T02:29:25Z</dcterms:modified>
  <dc:title>附件2</dc:title>
  <cp:revision>560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CA96AA75AAD84AA58361E4434CCDD7C0_13</vt:lpwstr>
  </property>
</Properties>
</file>