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DA23">
      <w:pPr>
        <w:pStyle w:val="3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襄城县市场监督管理局2024年药品流通监管工作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开展情况</w:t>
      </w:r>
    </w:p>
    <w:bookmarkEnd w:id="0"/>
    <w:p w14:paraId="646AE28D">
      <w:pPr>
        <w:pStyle w:val="3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按照许昌市局2024年药品流通监管工作部署，我局制定药品流通监管工作方案，认真组织开展药品流通使用环节监督检查，现将工作开展情况汇报如下。</w:t>
      </w:r>
    </w:p>
    <w:p w14:paraId="636CBAFF">
      <w:pPr>
        <w:pStyle w:val="3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1.按照市局药品监管工作安排和我县工作实际，组织开展了药品流通、使用专项整治，处方药和执业药师在岗专项整治、疫苗使用专项检查、非法渠道购药专项检查等多项检查工作。对全县206家药店和747家医疗机构开展检查2909家次，警告22家，罚款17家。通过以上专项整治工作，有效规范了我县药品流通领域秩序。</w:t>
      </w:r>
    </w:p>
    <w:p w14:paraId="4EB14A74">
      <w:pPr>
        <w:pStyle w:val="3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药品追溯工作开展情况。全县206家药店和一级以上医疗机构28家全部入驻“码上放心”药品追溯平台，开展集采、生物、血液、精麻、肉毒毒素等品种追溯工作。通过组织召开药品追溯工作培训会，加强药品零售企业和医疗机构药品追溯管理，督促指导相关单位依法开展药品追溯工作。定期通报各单位药品追溯工作开展情况。对未按时完成药品追溯工作的32家药店，采取集中行政约谈6次。</w:t>
      </w:r>
    </w:p>
    <w:p w14:paraId="567CA8CF">
      <w:pPr>
        <w:pStyle w:val="3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3.加强药品网络销售管理。以新实施《药品网络销售监督管理办法》为契机，进一步强化网络销售药品管理。一是严格准入， 目前我县共有备案网售药店38家。我局通过指导企业与网络平台签订协议，依法指导企业在平台上规范展示经营资质、药学技术人员证书及药品的分区分类展示等工作，确保企业规范经营。二是强化监管，严厉打击违规行为。不定期对辖区药品网售企业开展网上巡查109家次，责令改正7家次，关停1家网售药店。对监测中发现有违法违规药品网络销售行为的药店，明确相关工作要求；并对整改结果予以逐条核实，确保整改到位。</w:t>
      </w:r>
    </w:p>
    <w:p w14:paraId="21B19D9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</w:t>
      </w:r>
    </w:p>
    <w:p w14:paraId="483799B2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678458C6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3CC88924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60023A3A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08E23CF4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3A2CB3A5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125BEF1C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4DF29FC2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1216224B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371C8540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4978B74F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62CE8842">
      <w:pPr>
        <w:spacing w:line="540" w:lineRule="exact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药品经营使用单位监督检查计划落实情况表</w:t>
      </w:r>
    </w:p>
    <w:p w14:paraId="3E95C60A"/>
    <w:p w14:paraId="7883C655">
      <w:pPr>
        <w:rPr>
          <w:rFonts w:hint="eastAsia" w:ascii="仿宋_GB2312" w:hAnsi="方正楷体_GBK" w:eastAsia="仿宋_GB2312" w:cs="方正楷体_GBK"/>
          <w:sz w:val="24"/>
          <w:szCs w:val="28"/>
        </w:rPr>
      </w:pPr>
      <w:r>
        <w:rPr>
          <w:rFonts w:hint="eastAsia" w:ascii="仿宋_GB2312" w:hAnsi="CESI仿宋-GB2312" w:eastAsia="仿宋_GB2312" w:cs="CESI仿宋-GB2312"/>
          <w:sz w:val="28"/>
          <w:szCs w:val="32"/>
        </w:rPr>
        <w:t>单位：</w:t>
      </w:r>
      <w:r>
        <w:rPr>
          <w:rFonts w:hint="eastAsia" w:ascii="仿宋_GB2312" w:hAnsi="CESI仿宋-GB2312" w:eastAsia="仿宋_GB2312" w:cs="CESI仿宋-GB2312"/>
          <w:sz w:val="28"/>
          <w:szCs w:val="32"/>
          <w:lang w:eastAsia="zh-CN"/>
        </w:rPr>
        <w:t>襄城县市场监管局</w:t>
      </w:r>
      <w:r>
        <w:rPr>
          <w:rFonts w:hint="eastAsia" w:ascii="仿宋_GB2312" w:hAnsi="CESI仿宋-GB2312" w:eastAsia="仿宋_GB2312" w:cs="CESI仿宋-GB2312"/>
          <w:sz w:val="28"/>
          <w:szCs w:val="32"/>
        </w:rPr>
        <w:t xml:space="preserve">               填报日期：</w:t>
      </w:r>
      <w:r>
        <w:rPr>
          <w:rFonts w:hint="eastAsia" w:ascii="仿宋_GB2312" w:hAnsi="CESI仿宋-GB2312" w:eastAsia="仿宋_GB2312" w:cs="CESI仿宋-GB2312"/>
          <w:sz w:val="28"/>
          <w:szCs w:val="32"/>
          <w:lang w:val="en-US" w:eastAsia="zh-CN"/>
        </w:rPr>
        <w:t>2024年11月25日</w:t>
      </w:r>
      <w:r>
        <w:rPr>
          <w:rFonts w:hint="eastAsia" w:ascii="仿宋_GB2312" w:hAnsi="CESI仿宋-GB2312" w:eastAsia="仿宋_GB2312" w:cs="CESI仿宋-GB2312"/>
          <w:sz w:val="28"/>
          <w:szCs w:val="32"/>
        </w:rPr>
        <w:t xml:space="preserve">           </w:t>
      </w:r>
    </w:p>
    <w:tbl>
      <w:tblPr>
        <w:tblStyle w:val="4"/>
        <w:tblpPr w:leftFromText="180" w:rightFromText="180" w:vertAnchor="text" w:horzAnchor="page" w:tblpX="1430" w:tblpY="26"/>
        <w:tblOverlap w:val="never"/>
        <w:tblW w:w="9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088"/>
        <w:gridCol w:w="3253"/>
      </w:tblGrid>
      <w:tr w14:paraId="1E464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9A86">
            <w:pPr>
              <w:widowControl/>
              <w:jc w:val="center"/>
              <w:textAlignment w:val="center"/>
              <w:rPr>
                <w:rFonts w:hint="eastAsia" w:ascii="黑体" w:hAnsi="黑体" w:eastAsia="黑体" w:cs="方正黑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color w:val="000000"/>
                <w:kern w:val="0"/>
                <w:sz w:val="24"/>
                <w:szCs w:val="24"/>
                <w:lang w:bidi="ar"/>
              </w:rPr>
              <w:t>检查对象</w:t>
            </w:r>
          </w:p>
        </w:tc>
        <w:tc>
          <w:tcPr>
            <w:tcW w:w="6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022E">
            <w:pPr>
              <w:widowControl/>
              <w:jc w:val="center"/>
              <w:textAlignment w:val="center"/>
              <w:rPr>
                <w:rFonts w:hint="eastAsia" w:ascii="黑体" w:hAnsi="黑体" w:eastAsia="黑体" w:cs="方正黑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color w:val="000000"/>
                <w:kern w:val="0"/>
                <w:sz w:val="24"/>
                <w:szCs w:val="24"/>
                <w:lang w:bidi="ar"/>
              </w:rPr>
              <w:t>完成情况</w:t>
            </w:r>
          </w:p>
        </w:tc>
      </w:tr>
      <w:tr w14:paraId="79C6A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1D45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药品批发企业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47DB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辖区企业数(家)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B761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---</w:t>
            </w:r>
          </w:p>
        </w:tc>
      </w:tr>
      <w:tr w14:paraId="09D0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4F65">
            <w:pPr>
              <w:widowControl/>
              <w:jc w:val="left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6BE7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检查数(家次)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74AF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---</w:t>
            </w:r>
          </w:p>
        </w:tc>
      </w:tr>
      <w:tr w14:paraId="31B9D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F4E6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药品零售连锁总部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EF73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辖区企业数(家)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659D">
            <w:pPr>
              <w:jc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</w:p>
        </w:tc>
      </w:tr>
      <w:tr w14:paraId="64751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03C0">
            <w:pPr>
              <w:widowControl/>
              <w:jc w:val="left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EE4B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检查数(家次)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8148">
            <w:pPr>
              <w:jc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</w:p>
        </w:tc>
      </w:tr>
      <w:tr w14:paraId="1480C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F774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零售药店(含连锁门店)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022E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辖区企业数(家)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8D4C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206</w:t>
            </w:r>
          </w:p>
        </w:tc>
      </w:tr>
      <w:tr w14:paraId="15937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3B1C">
            <w:pPr>
              <w:widowControl/>
              <w:jc w:val="left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5B5B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检查数(家次)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FD57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1576</w:t>
            </w:r>
          </w:p>
        </w:tc>
      </w:tr>
      <w:tr w14:paraId="4CCE3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E7F0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互联网药品信息服务网站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45BD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网站数(家)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B6AB">
            <w:pPr>
              <w:jc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00BC6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D76C">
            <w:pPr>
              <w:widowControl/>
              <w:jc w:val="left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9838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检查数(家次)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9B03">
            <w:pPr>
              <w:jc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3C14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712E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4"/>
                <w:szCs w:val="24"/>
                <w:lang w:bidi="ar"/>
              </w:rPr>
              <w:t>药品网络交易三方平台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E49F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4"/>
                <w:szCs w:val="24"/>
                <w:lang w:bidi="ar"/>
              </w:rPr>
              <w:t>三方平台数（家）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8A9F">
            <w:pPr>
              <w:jc w:val="center"/>
              <w:rPr>
                <w:rFonts w:hint="eastAsia" w:ascii="仿宋_GB2312" w:hAnsi="CESI仿宋-GB2312" w:eastAsia="仿宋_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371AC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ACC5">
            <w:pPr>
              <w:widowControl/>
              <w:jc w:val="left"/>
              <w:rPr>
                <w:rFonts w:hint="eastAsia" w:ascii="仿宋_GB2312" w:hAnsi="CESI仿宋-GB2312" w:eastAsia="仿宋_GB2312" w:cs="CESI仿宋-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1122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4"/>
                <w:szCs w:val="24"/>
                <w:lang w:bidi="ar"/>
              </w:rPr>
              <w:t>检查数(家次)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D0F3">
            <w:pPr>
              <w:jc w:val="center"/>
              <w:rPr>
                <w:rFonts w:hint="eastAsia" w:ascii="仿宋_GB2312" w:hAnsi="CESI仿宋-GB2312" w:eastAsia="仿宋_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5670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5F38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4"/>
                <w:szCs w:val="24"/>
                <w:lang w:bidi="ar"/>
              </w:rPr>
              <w:t>药品网络销售企业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AF81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kern w:val="0"/>
                <w:sz w:val="24"/>
                <w:szCs w:val="24"/>
                <w:lang w:bidi="ar"/>
              </w:rPr>
              <w:t>辖区企业数(家)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102E">
            <w:pPr>
              <w:jc w:val="center"/>
              <w:rPr>
                <w:rFonts w:hint="default" w:ascii="仿宋_GB2312" w:hAnsi="CESI仿宋-GB2312" w:eastAsia="仿宋_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  <w:szCs w:val="24"/>
                <w:lang w:val="en-US" w:eastAsia="zh-CN"/>
              </w:rPr>
              <w:t>38</w:t>
            </w:r>
          </w:p>
        </w:tc>
      </w:tr>
      <w:tr w14:paraId="00961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9BA6">
            <w:pPr>
              <w:widowControl/>
              <w:jc w:val="left"/>
              <w:rPr>
                <w:rFonts w:hint="eastAsia" w:ascii="仿宋_GB2312" w:hAnsi="CESI仿宋-GB2312" w:eastAsia="仿宋_GB2312" w:cs="CESI仿宋-GB2312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C563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检查数(家次)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20DB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</w:tr>
      <w:tr w14:paraId="6C6E1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CF9F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医疗机构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DB13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辖区医疗机构数(家)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5205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747</w:t>
            </w:r>
          </w:p>
        </w:tc>
      </w:tr>
      <w:tr w14:paraId="29705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6BF7">
            <w:pPr>
              <w:widowControl/>
              <w:jc w:val="left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15B9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检查数(家次)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3AFA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1333</w:t>
            </w:r>
          </w:p>
        </w:tc>
      </w:tr>
      <w:tr w14:paraId="78FF3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E7D5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疫苗配送企业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8FC2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辖区企业数(家)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6CD7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---</w:t>
            </w:r>
          </w:p>
        </w:tc>
      </w:tr>
      <w:tr w14:paraId="028A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9EBD">
            <w:pPr>
              <w:widowControl/>
              <w:jc w:val="left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747F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检查数(家次)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1558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---</w:t>
            </w:r>
          </w:p>
        </w:tc>
      </w:tr>
      <w:tr w14:paraId="35328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4E3A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疾控机构及疫苗接种单位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35A3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辖区机构及单位数(家)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A368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</w:tr>
      <w:tr w14:paraId="55779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89F15">
            <w:pPr>
              <w:widowControl/>
              <w:jc w:val="left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F2A8">
            <w:pPr>
              <w:widowControl/>
              <w:jc w:val="center"/>
              <w:textAlignment w:val="center"/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kern w:val="0"/>
                <w:sz w:val="24"/>
                <w:szCs w:val="24"/>
                <w:lang w:bidi="ar"/>
              </w:rPr>
              <w:t>检查数(家次)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DF4E">
            <w:pPr>
              <w:jc w:val="center"/>
              <w:rPr>
                <w:rFonts w:hint="default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ESI仿宋-GB2312" w:eastAsia="仿宋_GB2312" w:cs="CESI仿宋-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</w:tr>
    </w:tbl>
    <w:p w14:paraId="52DEE470">
      <w:pPr>
        <w:pStyle w:val="2"/>
        <w:rPr>
          <w:rFonts w:hint="eastAsia"/>
        </w:rPr>
      </w:pPr>
      <w:r>
        <w:rPr>
          <w:rFonts w:hint="eastAsia"/>
        </w:rPr>
        <w:t>备注：上半年数据统计时间范围为1月1日至5月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日，全年数据统计时间范围为</w:t>
      </w:r>
    </w:p>
    <w:p w14:paraId="72977263">
      <w:pPr>
        <w:pStyle w:val="2"/>
        <w:ind w:firstLine="735" w:firstLineChars="350"/>
        <w:jc w:val="both"/>
        <w:rPr>
          <w:rFonts w:hint="eastAsia" w:ascii="仿宋_GB2312" w:hAnsi="方正楷体_GBK" w:eastAsia="仿宋_GB2312" w:cs="方正楷体_GBK"/>
          <w:sz w:val="28"/>
          <w:szCs w:val="28"/>
        </w:rPr>
        <w:sectPr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/>
        </w:rPr>
        <w:t>1月1日至11月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日。</w:t>
      </w:r>
    </w:p>
    <w:p w14:paraId="54A8139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47449"/>
    <w:rsid w:val="2CB47449"/>
    <w:rsid w:val="2D1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  <w:rPr>
      <w:rFonts w:ascii="Times New Roman" w:hAnsi="Times New Roma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1087</Words>
  <Characters>1147</Characters>
  <Lines>0</Lines>
  <Paragraphs>0</Paragraphs>
  <TotalTime>8</TotalTime>
  <ScaleCrop>false</ScaleCrop>
  <LinksUpToDate>false</LinksUpToDate>
  <CharactersWithSpaces>1203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2024-11-25T00:47:00Z</dcterms:created>
  <dc:creator>张晓杰</dc:creator>
  <cp:lastModifiedBy>Z</cp:lastModifiedBy>
  <dcterms:modified xsi:type="dcterms:W3CDTF">2024-12-19T01:22:20Z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27007B318F7F4503B776102CB89A8FF8_12</vt:lpwstr>
  </property>
</Properties>
</file>